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к приказу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Департамента образования и науки </w:t>
      </w:r>
      <w:r>
        <w:rPr>
          <w:sz w:val="24"/>
          <w:szCs w:val="24"/>
        </w:rPr>
        <w:br/>
        <w:t xml:space="preserve">Ханты-Мансийского автономного округа – Югры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</w:rPr>
        <w:t xml:space="preserve"> </w:t>
      </w:r>
      <w:r>
        <w:rPr>
          <w:color w:val="d9d9d9"/>
          <w:sz w:val="24"/>
          <w:szCs w:val="24"/>
        </w:rPr>
        <w:t xml:space="preserve">[Дата документа] [Номер документа]</w:t>
      </w: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</w:p>
    <w:p>
      <w:pPr>
        <w:jc w:val="right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</w:p>
    <w:p>
      <w:pPr>
        <w:jc w:val="right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</w:p>
    <w:p>
      <w:pPr>
        <w:jc w:val="center"/>
        <w:keepNext/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Список номеров телефонов консультирования – «горячей линии» Департамента образования и </w:t>
      </w:r>
      <w:r>
        <w:rPr>
          <w:sz w:val="28"/>
          <w:szCs w:val="28"/>
        </w:rPr>
        <w:t xml:space="preserve">науки</w:t>
      </w:r>
      <w:r>
        <w:rPr>
          <w:sz w:val="28"/>
          <w:szCs w:val="28"/>
        </w:rPr>
        <w:t xml:space="preserve"> </w:t>
        <w:br/>
        <w:t xml:space="preserve">Ханты-Мансийского автономного округа – Югры (далее – Департамент) для оказания консультативной помощи </w:t>
        <w:br/>
        <w:t xml:space="preserve">в период подготовки и проведения государственной итоговой аттестации </w:t>
      </w:r>
      <w:r>
        <w:rPr>
          <w:sz w:val="28"/>
          <w:szCs w:val="28"/>
        </w:rPr>
        <w:t xml:space="preserve">по образовательным программам основного общего и среднего общего образования, итогового сочинения (изложения), итогового собеседования по русскому языку в 2025</w:t>
      </w:r>
      <w:r>
        <w:rPr>
          <w:sz w:val="28"/>
          <w:szCs w:val="28"/>
        </w:rPr>
        <w:t xml:space="preserve">/2026</w:t>
      </w:r>
      <w:r>
        <w:rPr>
          <w:sz w:val="28"/>
          <w:szCs w:val="28"/>
        </w:rPr>
        <w:t xml:space="preserve"> учебном году, дополнительном периоде 2026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keepNext/>
        <w:rPr>
          <w:sz w:val="28"/>
          <w:szCs w:val="28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2977"/>
        <w:gridCol w:w="5152"/>
        <w:gridCol w:w="2839"/>
      </w:tblGrid>
      <w:tr>
        <w:tblPrEx/>
        <w:trPr>
          <w:jc w:val="center"/>
          <w:trHeight w:val="109"/>
        </w:trPr>
        <w:tc>
          <w:tcPr>
            <w:tcW w:w="675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№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п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/п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Ф.И.О. ответственного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Должность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51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Курируемые вопросы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Телефоны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</w:tr>
      <w:tr>
        <w:tblPrEx/>
        <w:trPr>
          <w:jc w:val="center"/>
          <w:trHeight w:val="937"/>
        </w:trPr>
        <w:tc>
          <w:tcPr>
            <w:tcW w:w="675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1.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Васяева Олеся Игорьевна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Начальник Управления общего образования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515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Организация и проведение итогового собеседования по русскому языку, итогового сочинения (изложения)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Организация проведения государственной итоговой аттестации по образовательным программам основного общего и среднего общего образования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8(3467)360-161, доб. 2533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</w:tr>
      <w:tr>
        <w:tblPrEx/>
        <w:trPr>
          <w:jc w:val="center"/>
          <w:trHeight w:val="661"/>
        </w:trPr>
        <w:tc>
          <w:tcPr>
            <w:tcW w:w="675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2.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Савицкая Татьяна Викторовна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консультант отдела адаптированных образовательных программ и итоговой аттестации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515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Организация и проведение итогового сочинения (изложения)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Обеспечение проведения государственной итоговой аттестации по образовательным программам среднего общего образования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8(3467)360-161, доб. 2536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</w:tr>
      <w:tr>
        <w:tblPrEx/>
        <w:trPr>
          <w:trHeight w:val="661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3.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Копыльцова Елена Вячеславовна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консультант отдела адаптированных образовательных программ и итоговой аттестации </w: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51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  <w:highlight w:val="none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Организация и проведение итогового собеседования по русскому языку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</w:p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Организация проведения государственной итоговой аттестации по образовательным программам основного общего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 образования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28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8(3467)360-161, доб. 2537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</w:tr>
    </w:tbl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к приказу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Департамента образования и науки </w:t>
      </w:r>
      <w:r>
        <w:rPr>
          <w:sz w:val="24"/>
          <w:szCs w:val="24"/>
        </w:rPr>
        <w:br/>
        <w:t xml:space="preserve">Ханты-Мансийского автономного округа – Югры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color w:val="d9d9d9"/>
        </w:rPr>
      </w:pPr>
      <w:r>
        <w:rPr>
          <w:color w:val="d9d9d9"/>
        </w:rPr>
        <w:t xml:space="preserve"> </w:t>
      </w:r>
      <w:r>
        <w:rPr>
          <w:color w:val="d9d9d9"/>
        </w:rPr>
        <w:t xml:space="preserve">[Дата документа]         [Номер документа]</w:t>
      </w:r>
      <w:r>
        <w:rPr>
          <w:color w:val="d9d9d9"/>
        </w:rPr>
      </w:r>
      <w:r>
        <w:rPr>
          <w:color w:val="d9d9d9"/>
        </w:rPr>
      </w:r>
    </w:p>
    <w:p>
      <w:pPr>
        <w:ind w:right="350"/>
        <w:jc w:val="right"/>
      </w:pPr>
      <w:r/>
      <w:r/>
    </w:p>
    <w:p>
      <w:pPr>
        <w:jc w:val="center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информационного сопровождения</w:t>
      </w:r>
      <w:r>
        <w:rPr>
          <w:sz w:val="28"/>
          <w:szCs w:val="28"/>
        </w:rPr>
        <w:t xml:space="preserve"> обучающихся, </w:t>
      </w:r>
      <w:r>
        <w:rPr>
          <w:sz w:val="28"/>
          <w:szCs w:val="28"/>
        </w:rPr>
        <w:t xml:space="preserve">их 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дителей (законных представителей), педагогических работников, участвующих в подготовке обучающихся и (или) педагогических работников, привлекаемых </w:t>
        <w:br/>
        <w:t xml:space="preserve">к организации проведения государственной итоговой аттестации по образовательным программам основного общего </w:t>
      </w:r>
      <w:r>
        <w:rPr>
          <w:sz w:val="28"/>
          <w:szCs w:val="28"/>
        </w:rPr>
        <w:t xml:space="preserve">и среднего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общего образования, итогового сочинения (изложения), итогового собеседования </w:t>
        <w:br/>
        <w:t xml:space="preserve">по русскому языку, выпускников прошлых лет, общественности по вопросам организации и проведения государственной итоговой аттестации по образовательным программам основного общего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среднего общего образования, единого государственного экзамена, итогового сочинения (изложения), итогового собеседования </w:t>
        <w:br/>
        <w:t xml:space="preserve">по русскому языку, в том числе посредством средств массов</w:t>
      </w:r>
      <w:r>
        <w:rPr>
          <w:sz w:val="28"/>
          <w:szCs w:val="28"/>
        </w:rPr>
        <w:t xml:space="preserve">ой информации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в 2025</w:t>
      </w:r>
      <w:r>
        <w:rPr>
          <w:sz w:val="28"/>
          <w:szCs w:val="28"/>
        </w:rPr>
        <w:t xml:space="preserve">/2026</w:t>
      </w:r>
      <w:r>
        <w:rPr>
          <w:sz w:val="28"/>
          <w:szCs w:val="28"/>
        </w:rPr>
        <w:t xml:space="preserve"> учебному году, дополнительном периоде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45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002"/>
        <w:gridCol w:w="2127"/>
        <w:gridCol w:w="3118"/>
        <w:gridCol w:w="5670"/>
      </w:tblGrid>
      <w:tr>
        <w:tblPrEx/>
        <w:trPr>
          <w:trHeight w:val="247"/>
          <w:tblHeader/>
        </w:trPr>
        <w:tc>
          <w:tcPr>
            <w:tcW w:w="534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№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п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/п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400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Форма мероприятия, направление (тематика),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освещаемого вопроса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Сроки проведения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Форма</w:t>
            </w:r>
            <w:r>
              <w:rPr>
                <w:rFonts w:eastAsia="Calibri"/>
                <w:color w:val="000000"/>
                <w:sz w:val="23"/>
                <w:szCs w:val="23"/>
                <w:lang w:val="en-US"/>
              </w:rPr>
              <w:t xml:space="preserve">т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проведения мероприятия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Категория участников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</w:tr>
      <w:tr>
        <w:tblPrEx/>
        <w:trPr>
          <w:trHeight w:val="416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3"/>
                <w:szCs w:val="23"/>
                <w:highlight w:val="none"/>
              </w:rPr>
            </w:pP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1.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</w:p>
        </w:tc>
        <w:tc>
          <w:tcPr>
            <w:tcW w:w="40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  <w:highlight w:val="none"/>
              </w:rPr>
            </w:pP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Семинар-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с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овещание об особенностях организации проведения итогового с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обеседования по русскому языку, в ра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мках порядка проведения государственной итоговой аттестации по образовательным программам основного общего образования (далее – ГИА-9), утвержденного приказом Минпросвещения России и Рособрнадзора от 04.04.2023 </w:t>
              <w:br/>
              <w:t xml:space="preserve">№ 232/551 (далее – порядок проведения ГИА-9)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3"/>
                <w:szCs w:val="23"/>
                <w:highlight w:val="none"/>
              </w:rPr>
            </w:pP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январь,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</w:p>
          <w:p>
            <w:pPr>
              <w:jc w:val="center"/>
              <w:rPr>
                <w:rFonts w:eastAsia="Calibri"/>
                <w:color w:val="000000"/>
                <w:sz w:val="23"/>
                <w:szCs w:val="23"/>
                <w:highlight w:val="none"/>
              </w:rPr>
            </w:pP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февраль, март </w:t>
              <w:br/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2026 года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 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3"/>
                <w:szCs w:val="23"/>
                <w:highlight w:val="none"/>
              </w:rPr>
            </w:pP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вебинар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, видеоконференцсвязь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  <w:highlight w:val="none"/>
              </w:rPr>
            </w:pP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руководители и специалисты органов местного самоуправления муниципальных образований 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br/>
              <w:t xml:space="preserve">Ханты-Мансийского автономного округа – Югры, осуществляющих управление в сфере образования (дал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ее – МОУО), муниципальные координаторы, курирующие вопросы проведения ГИА-9, ГИА-11, ЕГЭ на территории муниципального образования, координаторы государственных образовательных организаций, курирующие вопросы проведения 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br/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ГИА-9, ГИА-11, ЕГЭ в государственных образовательных организациях (далее – координаторы), лица, привлекаемые к организации проведения 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итогового собеседования по русскому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 языку 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661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40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Семинар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-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с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овещание об особенностях организации проведения итогового сочинения (изложения)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, в рамках порядка проведения государственной итоговой аттестации по образовательным программам среднего общего образования (далее – ГИА-11), утвержденного приказом Минпросвещения России и Рособрнадзора от 04.04.2023 </w:t>
              <w:br/>
              <w:t xml:space="preserve">№ 233/552 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(далее – порядок проведения ГИА-11)</w:t>
            </w:r>
            <w:r>
              <w:rPr>
                <w:rFonts w:eastAsia="Calibri"/>
                <w:color w:val="000000"/>
                <w:highlight w:val="none"/>
              </w:rPr>
            </w:r>
            <w:r>
              <w:rPr>
                <w:rFonts w:eastAsia="Calibri"/>
                <w:color w:val="000000"/>
                <w:highlight w:val="none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3"/>
                <w:szCs w:val="23"/>
                <w:highlight w:val="none"/>
              </w:rPr>
            </w:pP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ноябрь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</w:p>
          <w:p>
            <w:pPr>
              <w:jc w:val="center"/>
              <w:rPr>
                <w:rFonts w:eastAsia="Calibri"/>
                <w:color w:val="000000"/>
                <w:sz w:val="23"/>
                <w:szCs w:val="23"/>
                <w:highlight w:val="none"/>
              </w:rPr>
            </w:pP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202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5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,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</w:p>
          <w:p>
            <w:pPr>
              <w:jc w:val="center"/>
              <w:rPr>
                <w:rFonts w:eastAsia="Calibri"/>
                <w:color w:val="000000"/>
                <w:sz w:val="23"/>
                <w:szCs w:val="23"/>
                <w:highlight w:val="none"/>
              </w:rPr>
            </w:pP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январь, 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</w:p>
          <w:p>
            <w:pPr>
              <w:jc w:val="center"/>
              <w:rPr>
                <w:rFonts w:eastAsia="Calibri"/>
                <w:color w:val="000000"/>
                <w:sz w:val="23"/>
                <w:szCs w:val="23"/>
                <w:highlight w:val="none"/>
              </w:rPr>
            </w:pP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февраль, 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</w:p>
          <w:p>
            <w:pPr>
              <w:jc w:val="center"/>
              <w:rPr>
                <w:rFonts w:eastAsia="Calibri"/>
                <w:color w:val="000000"/>
                <w:sz w:val="23"/>
                <w:szCs w:val="23"/>
                <w:highlight w:val="none"/>
              </w:rPr>
            </w:pP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март 2026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 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вебинар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, видеоконференцсвязь</w:t>
            </w:r>
            <w:r>
              <w:rPr>
                <w:rFonts w:eastAsia="Calibri"/>
                <w:color w:val="000000"/>
                <w:highlight w:val="none"/>
              </w:rPr>
            </w:r>
            <w:r>
              <w:rPr>
                <w:rFonts w:eastAsia="Calibri"/>
                <w:color w:val="000000"/>
                <w:highlight w:val="none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  <w:highlight w:val="none"/>
              </w:rPr>
            </w:pP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руководители МОУО, координаторы</w:t>
            </w:r>
            <w:r>
              <w:rPr>
                <w:highlight w:val="none"/>
              </w:rPr>
              <w:t xml:space="preserve">, 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лица, привлекаемые к организации и проведению итогового сочинения (изложения) 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W w:w="534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2.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40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Семинар-совещание об особенностях организации проведения ГИА-9, ГИА-11, ЕГЭ в соответствии с порядками проведения ГИА-9, </w:t>
              <w:br/>
              <w:t xml:space="preserve">ГИА-11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ноябрь 2025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–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май 202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6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вебинар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, видеоконференцсвязь</w: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руководители и специалисты МОУО,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координаторы,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лица, привлекаемые к организации и проведению ГИА-9, ГИА-11, ЕГЭ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</w:tr>
      <w:tr>
        <w:tblPrEx/>
        <w:trPr>
          <w:trHeight w:val="661"/>
        </w:trPr>
        <w:tc>
          <w:tcPr>
            <w:tcW w:w="534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3.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40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Родительски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е собрания, встречи, «круглые столы», иные формы просветительской работы на региональном (муниципальном, институциональном) уровне, по вопросам организации проведения итогового собеседования по русскому языку, итогового сочинения (изложения), ГИА-9, ГИА-11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ноябрь 202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5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–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май 2026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вебинар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, видеоконференцсвязь</w: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руководители и специалисты МОУО,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координаторы, с привлечением специалистов Департамента образования и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науки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Ханты-Мансийского автономного округа – Югры (далее – Депобразования и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науки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Югры), АУ «Институт развития образования», Департамента здравоохранения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Ханты-Мансийского автономного округа – Югры (далее –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Депздрав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Югры), представителей учреждений здравоохранения, специалистов-психологов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</w:tr>
      <w:tr>
        <w:tblPrEx/>
        <w:trPr>
          <w:trHeight w:val="661"/>
        </w:trPr>
        <w:tc>
          <w:tcPr>
            <w:tcW w:w="534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4.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4002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Встречи на муниципальном (институциональном) уровне с представителями органов ученического самоуправления, обучающимися выпускных классов в целях обеспечения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мероприятий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по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сопровождению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обучающихся,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направленных на повышение качества образовательных результатов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/>
          </w:p>
          <w:p>
            <w:pPr>
              <w:jc w:val="both"/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выпускников в период прохождения ГИА-9, ГИА-11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ноябрь 202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5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–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май 202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6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очное присутствие,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вебинар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, видеоконференцсвязь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(конференция, лекция, семинар, тренинг,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классный час) </w: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руководители, специалисты МОУО, координаторы, руководители, педагогические работники образовательных организаций, курирующие вопросы проведения ГИА-9, ГИА-11, иных оценочных процедур,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представители органов ученического самоуправления,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обучающиеся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образовательных организаций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, в том числе с приглашением представителей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Депобразования и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науки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Югры, АУ «Институт развития образования»,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врачи, психологи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</w:tr>
      <w:tr>
        <w:tblPrEx/>
        <w:trPr>
          <w:trHeight w:val="661"/>
        </w:trPr>
        <w:tc>
          <w:tcPr>
            <w:tcW w:w="534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5.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40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Публикация, т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иражирование, распространение информационной продукции по вопросам проведения итогового сочинения (изложения), итогового собеседования по русскому языку,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ГИА-9, ГИА-11, ЕГЭ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октябрь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202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5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–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май 202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6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подготовка, тиражирование, распространение буклетов, плакатов, памяток, их размещение на информационных стендах, распространение среди участников ГИА-9, ГИА-11, ЕГЭ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обучающиеся, их родители (законные представители), выпускники прошлых лет, обучающиеся образовательных организаций профессионального образования, руководители образовательных организаций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</w:tr>
      <w:tr>
        <w:tblPrEx/>
        <w:trPr>
          <w:trHeight w:val="661"/>
        </w:trPr>
        <w:tc>
          <w:tcPr>
            <w:tcW w:w="534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6.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40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Участие в федеральных и региональных массовых мероприятиях, организация проведения муниципальных (институциональных) акций в разъяснительных целях и популяризация процедур оценки качества образования, включая процедуры ГИА-9, ГИА-11, ЕГЭ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февраль –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май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2026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  <w:t xml:space="preserve">очное участие в федеральных (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</w:rPr>
              <w:t xml:space="preserve">Всероссийская акция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</w:rPr>
              <w:t xml:space="preserve">«Сд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</w:rPr>
              <w:t xml:space="preserve">аем вместе! День сдачи ЕГЭ родителями»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</w:rPr>
              <w:t xml:space="preserve">демонстрационный экзамен по одному из учебных предметов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</w:rPr>
              <w:t xml:space="preserve">)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</w:rPr>
              <w:t xml:space="preserve">О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</w:rPr>
              <w:t xml:space="preserve">нлайн-марафон «ЕГЭ–это просто!»),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  <w:t xml:space="preserve"> и региональных мероприятиях (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</w:rPr>
              <w:t xml:space="preserve">Единая информационная неделя ЕГЭ – брифинги, круглые столы, с привлечением выпускников успешно прошедших ГИА в предыдущие годы)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  <w:highlight w:val="none"/>
              </w:rPr>
              <w:t xml:space="preserve">, организация проведения муниципальных (институциональных) акций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</w:rPr>
              <w:t xml:space="preserve">(демонстрационные экзамены, флэш-мобы, другое), </w:t>
            </w:r>
            <w:r>
              <w:rPr>
                <w:rFonts w:ascii="Times New Roman" w:hAnsi="Times New Roman" w:eastAsia="Open Sans" w:cs="Times New Roman"/>
                <w:color w:val="000000" w:themeColor="text1"/>
                <w:sz w:val="23"/>
                <w:szCs w:val="23"/>
                <w:highlight w:val="white"/>
              </w:rPr>
              <w:t xml:space="preserve">способствующее получению новых полезных знаний, расширению кругозора, и самообразованию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none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представители МОУО, образовательных организаций, родительской, студенческой общественности, средств массовой информации, Депобразования и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науки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Югры, АУ «Институт развития образования», с приглашением представителей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Департамента молодежной политики, гражданских инициатив и внешних связей Ханты-Мансийского автономного округа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3"/>
                <w:szCs w:val="23"/>
              </w:rPr>
              <w:t xml:space="preserve">–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Югры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, средств массовой информации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</w:tr>
      <w:tr>
        <w:tblPrEx/>
        <w:trPr>
          <w:trHeight w:val="2863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7.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  <w:p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400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  <w:highlight w:val="none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Встречи обуча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ющихся 11-х классов с выпускниками прошлых лет, получившими на ЕГЭ 100 баллов и имеющими высокобальные результаты, по вопросам выбора предметов для сдачи экзаменов, особенностей подготовки к прохождению ГИА, а также в целях 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формирования положительной мотивации к изучению учебных дисциплин и эффективной подготовки к ЕГЭ.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</w:p>
        </w:tc>
        <w:tc>
          <w:tcPr>
            <w:tcW w:w="21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декабрь 202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5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–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май 202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6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  <w:p>
            <w:r/>
            <w:r/>
          </w:p>
        </w:tc>
        <w:tc>
          <w:tcPr>
            <w:tcW w:w="311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очное присутствие,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вебинар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, видеоконференцсвязь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(конференция, лекция, семинар, тренинг,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классный час)</w: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5670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обучающиеся, их родители (законные представители), выпускники прошлых лет,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представители органов ученического самоуправления,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педагогические работники образовательных организаций, курирующие вопросы проведения ГИА-9, ГИА-11, иных оценочных процедур,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обучающиеся образовательных организаций среднего профессионального образования, руководители образовательных организаций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/>
            <w:r/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</w:tr>
      <w:tr>
        <w:tblPrEx/>
        <w:trPr>
          <w:trHeight w:val="661"/>
        </w:trPr>
        <w:tc>
          <w:tcPr>
            <w:tcW w:w="534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8.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40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Межведомственное взаимодействие региональных и территориальных управлений федеральных органов исполнительной власти, участвующих в организации и проведении ГИА-9, </w:t>
            </w:r>
            <w:r>
              <w:rPr>
                <w:rFonts w:eastAsia="Calibri"/>
                <w:color w:val="000000"/>
                <w:sz w:val="23"/>
                <w:szCs w:val="23"/>
              </w:rPr>
              <w:br/>
              <w:t xml:space="preserve">ГИА-11, ЕГЭ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октябрь 202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5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–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май 202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6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заседание Координационного совета при заместителе Губернатора автономного округа по обеспечению и проведению ГИА-9, ГИА-11, ЕГЭ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(очное присутствие, конференцсвязь)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представители УМВД России, ГУ МЧС России, Депобразования и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науки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Югры, АУ «Институт развития образования»,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Депздрава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Югры,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Департамента молодежной политики, гражданских инициатив и внешних связей Ханты-Мансийского автономного округа - Югры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, Департамента информационных технологий и цифрового развития </w:t>
            </w:r>
            <w:r>
              <w:rPr>
                <w:rFonts w:eastAsia="Calibri"/>
                <w:color w:val="000000"/>
                <w:sz w:val="23"/>
                <w:szCs w:val="23"/>
              </w:rPr>
              <w:br/>
              <w:t xml:space="preserve">Ханты-Мансийс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кого автономного округа – Югры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, руководителей МОУО, образовательных организаций профессионального и высшего образования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</w:tr>
      <w:tr>
        <w:tblPrEx/>
        <w:trPr>
          <w:trHeight w:val="661"/>
        </w:trPr>
        <w:tc>
          <w:tcPr>
            <w:tcW w:w="534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9.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40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Информирование граждан о порядке и сроках проведения итогового собеседования по русскому языку, итогового сочинения (изложения), ГИА-9, ГИА-11, ЕГЭ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ноябрь 2025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–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март  202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6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трансляция и публикация в печатных изданиях, социальных сетях,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мессенджерах, на телевидении, радио, в том числе являющихся муниципальными средствами массовой информации (информационные партнеры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Департамента молодежной политики, гражданских инициатив и внешних связей Ханты-Мансийского автономного округа - Югры)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; размещение информации на официальных сайтах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Депобразования и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науки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Югры,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МОУО, образовательные организации,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обучающиеся, их родители (законные представители)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</w:tr>
      <w:tr>
        <w:tblPrEx/>
        <w:trPr>
          <w:trHeight w:val="661"/>
        </w:trPr>
        <w:tc>
          <w:tcPr>
            <w:tcW w:w="534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10.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40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  <w:highlight w:val="none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Консультирование по вопросам организации проведения ГИА-9, ГИА-11, ЕГЭ, итогового сочинения (изложения), итогового собеседования по русскому языку, размещение информации о порядке проведения ГИА-9, ГИА-11 </w:t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</w:p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ноябрь 2025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–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  <w:p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май 202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6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</w:r>
            <w:r>
              <w:rPr>
                <w:rFonts w:eastAsia="Calibri"/>
                <w:color w:val="000000"/>
                <w:sz w:val="23"/>
                <w:szCs w:val="23"/>
                <w:highlight w:val="none"/>
              </w:rPr>
              <w:t xml:space="preserve">индивидуальные и коллективные консультации среди обучающихся 9, 11(12) классов и их родителей (законных представителей) об особенностях ГИА-9, ГИА-11, посредством функционирования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телефонов региональной «горячей линии», муниципальной «горячей линии»;</w: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  <w:p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интернет-консультирование,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  <w:p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ведение сообществ в социальных сетях,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  <w:p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ведение специализированных разделов сайтов МОУО, образовательных организаций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Депобразования и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науки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Югры,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АУ «Институт развития образования»,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  <w:p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МОУО, образовательные организации, обучающиеся, их родители (законные представители), выпускники прошлых лет, обучающиеся образовательных организаций профессионального образования </w:t>
            </w:r>
            <w:r>
              <w:rPr>
                <w:rFonts w:eastAsia="Calibri"/>
                <w:color w:val="000000"/>
                <w:sz w:val="23"/>
                <w:szCs w:val="23"/>
              </w:rPr>
            </w:r>
            <w:r>
              <w:rPr>
                <w:rFonts w:eastAsia="Calibri"/>
                <w:color w:val="000000"/>
                <w:sz w:val="23"/>
                <w:szCs w:val="23"/>
              </w:rPr>
            </w:r>
          </w:p>
        </w:tc>
      </w:tr>
    </w:tbl>
    <w:p>
      <w:pPr>
        <w:jc w:val="right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nextPage"/>
      <w:pgSz w:w="16838" w:h="11906" w:orient="landscape"/>
      <w:pgMar w:top="1559" w:right="1418" w:bottom="1276" w:left="1134" w:header="720" w:footer="720" w:gutter="0"/>
      <w:pgNumType w:start="6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Courier New">
    <w:panose1 w:val="02070309020205020404"/>
  </w:font>
  <w:font w:name="Sylfaen">
    <w:panose1 w:val="010A0502050306030303"/>
  </w:font>
  <w:font w:name="Verdana">
    <w:panose1 w:val="020B060403050404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</w:pPr>
    <w:fldSimple w:instr="PAGE \* MERGEFORMAT">
      <w:r>
        <w:t xml:space="preserve">1</w:t>
      </w:r>
    </w:fldSimple>
    <w:r/>
    <w:r/>
  </w:p>
  <w:p>
    <w:pPr>
      <w:pStyle w:val="931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rPr>
        <w:rStyle w:val="941"/>
      </w:rPr>
      <w:framePr w:wrap="around" w:vAnchor="text" w:hAnchor="margin" w:xAlign="center" w:y="1"/>
    </w:pPr>
    <w:r>
      <w:rPr>
        <w:rStyle w:val="941"/>
      </w:rPr>
      <w:fldChar w:fldCharType="begin"/>
    </w:r>
    <w:r>
      <w:rPr>
        <w:rStyle w:val="941"/>
      </w:rPr>
      <w:instrText xml:space="preserve">PAGE  </w:instrText>
    </w:r>
    <w:r>
      <w:rPr>
        <w:rStyle w:val="941"/>
      </w:rPr>
      <w:fldChar w:fldCharType="separate"/>
    </w:r>
    <w:r>
      <w:rPr>
        <w:rStyle w:val="941"/>
      </w:rPr>
      <w:t xml:space="preserve">24</w:t>
    </w:r>
    <w:r>
      <w:rPr>
        <w:rStyle w:val="941"/>
      </w:rPr>
      <w:fldChar w:fldCharType="end"/>
    </w:r>
    <w:r>
      <w:rPr>
        <w:rStyle w:val="941"/>
      </w:rPr>
    </w:r>
    <w:r>
      <w:rPr>
        <w:rStyle w:val="941"/>
      </w:rPr>
    </w:r>
  </w:p>
  <w:p>
    <w:pPr>
      <w:pStyle w:val="931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5"/>
  </w:num>
  <w:num w:numId="5">
    <w:abstractNumId w:val="17"/>
  </w:num>
  <w:num w:numId="6">
    <w:abstractNumId w:val="3"/>
  </w:num>
  <w:num w:numId="7">
    <w:abstractNumId w:val="11"/>
  </w:num>
  <w:num w:numId="8">
    <w:abstractNumId w:val="18"/>
  </w:num>
  <w:num w:numId="9">
    <w:abstractNumId w:val="20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8"/>
  </w:num>
  <w:num w:numId="14">
    <w:abstractNumId w:val="1"/>
  </w:num>
  <w:num w:numId="15">
    <w:abstractNumId w:val="13"/>
  </w:num>
  <w:num w:numId="16">
    <w:abstractNumId w:val="9"/>
  </w:num>
  <w:num w:numId="17">
    <w:abstractNumId w:val="12"/>
  </w:num>
  <w:num w:numId="18">
    <w:abstractNumId w:val="2"/>
  </w:num>
  <w:num w:numId="19">
    <w:abstractNumId w:val="15"/>
  </w:num>
  <w:num w:numId="20">
    <w:abstractNumId w:val="7"/>
  </w:num>
  <w:num w:numId="21">
    <w:abstractNumId w:val="6"/>
  </w:num>
  <w:num w:numId="22">
    <w:abstractNumId w:val="22"/>
  </w:num>
  <w:num w:numId="23">
    <w:abstractNumId w:val="1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7">
    <w:name w:val="Heading 1 Char"/>
    <w:basedOn w:val="906"/>
    <w:link w:val="900"/>
    <w:uiPriority w:val="9"/>
    <w:rPr>
      <w:rFonts w:ascii="Arial" w:hAnsi="Arial" w:eastAsia="Arial" w:cs="Arial"/>
      <w:sz w:val="40"/>
      <w:szCs w:val="40"/>
    </w:rPr>
  </w:style>
  <w:style w:type="character" w:styleId="738">
    <w:name w:val="Heading 2 Char"/>
    <w:basedOn w:val="906"/>
    <w:link w:val="901"/>
    <w:uiPriority w:val="9"/>
    <w:rPr>
      <w:rFonts w:ascii="Arial" w:hAnsi="Arial" w:eastAsia="Arial" w:cs="Arial"/>
      <w:sz w:val="34"/>
    </w:rPr>
  </w:style>
  <w:style w:type="character" w:styleId="739">
    <w:name w:val="Heading 3 Char"/>
    <w:basedOn w:val="906"/>
    <w:link w:val="902"/>
    <w:uiPriority w:val="9"/>
    <w:rPr>
      <w:rFonts w:ascii="Arial" w:hAnsi="Arial" w:eastAsia="Arial" w:cs="Arial"/>
      <w:sz w:val="30"/>
      <w:szCs w:val="30"/>
    </w:rPr>
  </w:style>
  <w:style w:type="character" w:styleId="740">
    <w:name w:val="Heading 4 Char"/>
    <w:basedOn w:val="906"/>
    <w:link w:val="903"/>
    <w:uiPriority w:val="9"/>
    <w:rPr>
      <w:rFonts w:ascii="Arial" w:hAnsi="Arial" w:eastAsia="Arial" w:cs="Arial"/>
      <w:b/>
      <w:bCs/>
      <w:sz w:val="26"/>
      <w:szCs w:val="26"/>
    </w:rPr>
  </w:style>
  <w:style w:type="character" w:styleId="741">
    <w:name w:val="Heading 5 Char"/>
    <w:basedOn w:val="906"/>
    <w:link w:val="904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899"/>
    <w:next w:val="899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basedOn w:val="90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744">
    <w:name w:val="Heading 7 Char"/>
    <w:basedOn w:val="906"/>
    <w:link w:val="9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899"/>
    <w:next w:val="899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06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899"/>
    <w:next w:val="899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06"/>
    <w:link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49">
    <w:name w:val="Title Char"/>
    <w:basedOn w:val="906"/>
    <w:link w:val="925"/>
    <w:uiPriority w:val="10"/>
    <w:rPr>
      <w:sz w:val="48"/>
      <w:szCs w:val="48"/>
    </w:rPr>
  </w:style>
  <w:style w:type="paragraph" w:styleId="750">
    <w:name w:val="Subtitle"/>
    <w:basedOn w:val="899"/>
    <w:next w:val="899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basedOn w:val="906"/>
    <w:link w:val="750"/>
    <w:uiPriority w:val="11"/>
    <w:rPr>
      <w:sz w:val="24"/>
      <w:szCs w:val="24"/>
    </w:rPr>
  </w:style>
  <w:style w:type="paragraph" w:styleId="752">
    <w:name w:val="Quote"/>
    <w:basedOn w:val="899"/>
    <w:next w:val="899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899"/>
    <w:next w:val="899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character" w:styleId="756">
    <w:name w:val="Header Char"/>
    <w:basedOn w:val="906"/>
    <w:link w:val="931"/>
    <w:uiPriority w:val="99"/>
  </w:style>
  <w:style w:type="character" w:styleId="757">
    <w:name w:val="Footer Char"/>
    <w:basedOn w:val="906"/>
    <w:link w:val="933"/>
    <w:uiPriority w:val="99"/>
  </w:style>
  <w:style w:type="paragraph" w:styleId="758">
    <w:name w:val="Caption"/>
    <w:basedOn w:val="899"/>
    <w:next w:val="8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basedOn w:val="758"/>
    <w:link w:val="933"/>
    <w:uiPriority w:val="99"/>
  </w:style>
  <w:style w:type="table" w:styleId="760">
    <w:name w:val="Table Grid Light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4 - Accent 1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9">
    <w:name w:val="Grid Table 4 - Accent 2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Grid Table 4 - Accent 3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1">
    <w:name w:val="Grid Table 4 - Accent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Grid Table 4 - Accent 5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3">
    <w:name w:val="Grid Table 4 - Accent 6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4">
    <w:name w:val="Grid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1">
    <w:name w:val="Grid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2">
    <w:name w:val="Grid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3">
    <w:name w:val="Grid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4">
    <w:name w:val="Grid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5">
    <w:name w:val="Grid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6">
    <w:name w:val="Grid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3">
    <w:name w:val="List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4">
    <w:name w:val="List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5">
    <w:name w:val="List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6">
    <w:name w:val="List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7">
    <w:name w:val="List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8">
    <w:name w:val="List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1">
    <w:name w:val="List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2">
    <w:name w:val="List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List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4">
    <w:name w:val="List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List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6">
    <w:name w:val="List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7">
    <w:name w:val="List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8">
    <w:name w:val="List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9">
    <w:name w:val="List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0">
    <w:name w:val="List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1">
    <w:name w:val="List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2">
    <w:name w:val="List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3">
    <w:name w:val="List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4">
    <w:name w:val="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 &amp; 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Bordered &amp; 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Bordered &amp; 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Bordered &amp; 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Bordered &amp; 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Bordered &amp; 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Bordered &amp; 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9">
    <w:name w:val="Bordered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0">
    <w:name w:val="Bordered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1">
    <w:name w:val="Bordered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2">
    <w:name w:val="Bordered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3">
    <w:name w:val="Bordered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4">
    <w:name w:val="Bordered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5">
    <w:name w:val="Footnote Text Char"/>
    <w:link w:val="950"/>
    <w:uiPriority w:val="99"/>
    <w:rPr>
      <w:sz w:val="18"/>
    </w:rPr>
  </w:style>
  <w:style w:type="character" w:styleId="886">
    <w:name w:val="Endnote Text Char"/>
    <w:link w:val="967"/>
    <w:uiPriority w:val="99"/>
    <w:rPr>
      <w:sz w:val="20"/>
    </w:rPr>
  </w:style>
  <w:style w:type="character" w:styleId="887">
    <w:name w:val="endnote reference"/>
    <w:basedOn w:val="906"/>
    <w:uiPriority w:val="99"/>
    <w:semiHidden/>
    <w:unhideWhenUsed/>
    <w:rPr>
      <w:vertAlign w:val="superscript"/>
    </w:rPr>
  </w:style>
  <w:style w:type="paragraph" w:styleId="888">
    <w:name w:val="toc 1"/>
    <w:basedOn w:val="899"/>
    <w:next w:val="899"/>
    <w:uiPriority w:val="39"/>
    <w:unhideWhenUsed/>
    <w:pPr>
      <w:ind w:left="0" w:right="0" w:firstLine="0"/>
      <w:spacing w:after="57"/>
    </w:pPr>
  </w:style>
  <w:style w:type="paragraph" w:styleId="889">
    <w:name w:val="toc 2"/>
    <w:basedOn w:val="899"/>
    <w:next w:val="899"/>
    <w:uiPriority w:val="39"/>
    <w:unhideWhenUsed/>
    <w:pPr>
      <w:ind w:left="283" w:right="0" w:firstLine="0"/>
      <w:spacing w:after="57"/>
    </w:pPr>
  </w:style>
  <w:style w:type="paragraph" w:styleId="890">
    <w:name w:val="toc 3"/>
    <w:basedOn w:val="899"/>
    <w:next w:val="899"/>
    <w:uiPriority w:val="39"/>
    <w:unhideWhenUsed/>
    <w:pPr>
      <w:ind w:left="567" w:right="0" w:firstLine="0"/>
      <w:spacing w:after="57"/>
    </w:pPr>
  </w:style>
  <w:style w:type="paragraph" w:styleId="891">
    <w:name w:val="toc 4"/>
    <w:basedOn w:val="899"/>
    <w:next w:val="899"/>
    <w:uiPriority w:val="39"/>
    <w:unhideWhenUsed/>
    <w:pPr>
      <w:ind w:left="850" w:right="0" w:firstLine="0"/>
      <w:spacing w:after="57"/>
    </w:pPr>
  </w:style>
  <w:style w:type="paragraph" w:styleId="892">
    <w:name w:val="toc 5"/>
    <w:basedOn w:val="899"/>
    <w:next w:val="899"/>
    <w:uiPriority w:val="39"/>
    <w:unhideWhenUsed/>
    <w:pPr>
      <w:ind w:left="1134" w:right="0" w:firstLine="0"/>
      <w:spacing w:after="57"/>
    </w:pPr>
  </w:style>
  <w:style w:type="paragraph" w:styleId="893">
    <w:name w:val="toc 6"/>
    <w:basedOn w:val="899"/>
    <w:next w:val="899"/>
    <w:uiPriority w:val="39"/>
    <w:unhideWhenUsed/>
    <w:pPr>
      <w:ind w:left="1417" w:right="0" w:firstLine="0"/>
      <w:spacing w:after="57"/>
    </w:pPr>
  </w:style>
  <w:style w:type="paragraph" w:styleId="894">
    <w:name w:val="toc 7"/>
    <w:basedOn w:val="899"/>
    <w:next w:val="899"/>
    <w:uiPriority w:val="39"/>
    <w:unhideWhenUsed/>
    <w:pPr>
      <w:ind w:left="1701" w:right="0" w:firstLine="0"/>
      <w:spacing w:after="57"/>
    </w:pPr>
  </w:style>
  <w:style w:type="paragraph" w:styleId="895">
    <w:name w:val="toc 8"/>
    <w:basedOn w:val="899"/>
    <w:next w:val="899"/>
    <w:uiPriority w:val="39"/>
    <w:unhideWhenUsed/>
    <w:pPr>
      <w:ind w:left="1984" w:right="0" w:firstLine="0"/>
      <w:spacing w:after="57"/>
    </w:pPr>
  </w:style>
  <w:style w:type="paragraph" w:styleId="896">
    <w:name w:val="toc 9"/>
    <w:basedOn w:val="899"/>
    <w:next w:val="899"/>
    <w:uiPriority w:val="39"/>
    <w:unhideWhenUsed/>
    <w:pPr>
      <w:ind w:left="2268" w:right="0" w:firstLine="0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899"/>
    <w:next w:val="899"/>
    <w:uiPriority w:val="99"/>
    <w:unhideWhenUsed/>
    <w:pPr>
      <w:spacing w:after="0" w:afterAutospacing="0"/>
    </w:pPr>
  </w:style>
  <w:style w:type="paragraph" w:styleId="899" w:default="1">
    <w:name w:val="Normal"/>
    <w:qFormat/>
    <w:rPr>
      <w:rFonts w:ascii="Times New Roman" w:hAnsi="Times New Roman" w:eastAsia="Times New Roman"/>
    </w:rPr>
  </w:style>
  <w:style w:type="paragraph" w:styleId="900">
    <w:name w:val="Heading 1"/>
    <w:basedOn w:val="899"/>
    <w:next w:val="899"/>
    <w:link w:val="909"/>
    <w:qFormat/>
    <w:pPr>
      <w:keepNext/>
      <w:outlineLvl w:val="0"/>
    </w:pPr>
    <w:rPr>
      <w:sz w:val="28"/>
      <w:szCs w:val="24"/>
    </w:rPr>
  </w:style>
  <w:style w:type="paragraph" w:styleId="901">
    <w:name w:val="Heading 2"/>
    <w:basedOn w:val="899"/>
    <w:next w:val="899"/>
    <w:link w:val="91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02">
    <w:name w:val="Heading 3"/>
    <w:basedOn w:val="899"/>
    <w:next w:val="8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03">
    <w:name w:val="Heading 4"/>
    <w:basedOn w:val="899"/>
    <w:next w:val="899"/>
    <w:qFormat/>
    <w:pPr>
      <w:keepNext/>
      <w:outlineLvl w:val="3"/>
    </w:pPr>
    <w:rPr>
      <w:b/>
      <w:bCs/>
      <w:sz w:val="28"/>
      <w:szCs w:val="24"/>
    </w:rPr>
  </w:style>
  <w:style w:type="paragraph" w:styleId="904">
    <w:name w:val="Heading 5"/>
    <w:basedOn w:val="899"/>
    <w:next w:val="899"/>
    <w:qFormat/>
    <w:pPr>
      <w:jc w:val="center"/>
      <w:keepNext/>
      <w:outlineLvl w:val="4"/>
    </w:pPr>
    <w:rPr>
      <w:i/>
      <w:sz w:val="24"/>
      <w:szCs w:val="24"/>
    </w:rPr>
  </w:style>
  <w:style w:type="paragraph" w:styleId="905">
    <w:name w:val="Heading 7"/>
    <w:basedOn w:val="899"/>
    <w:next w:val="899"/>
    <w:qFormat/>
    <w:pPr>
      <w:spacing w:before="240" w:after="60"/>
      <w:outlineLvl w:val="6"/>
    </w:pPr>
    <w:rPr>
      <w:sz w:val="24"/>
      <w:szCs w:val="24"/>
    </w:rPr>
  </w:style>
  <w:style w:type="character" w:styleId="906" w:default="1">
    <w:name w:val="Default Paragraph Font"/>
    <w:uiPriority w:val="1"/>
    <w:semiHidden/>
    <w:unhideWhenUsed/>
  </w:style>
  <w:style w:type="table" w:styleId="9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8" w:default="1">
    <w:name w:val="No List"/>
    <w:uiPriority w:val="99"/>
    <w:semiHidden/>
    <w:unhideWhenUsed/>
  </w:style>
  <w:style w:type="character" w:styleId="909" w:customStyle="1">
    <w:name w:val="Заголовок 1 Знак"/>
    <w:link w:val="900"/>
    <w:rPr>
      <w:rFonts w:ascii="Times New Roman" w:hAnsi="Times New Roman" w:eastAsia="Times New Roman"/>
      <w:sz w:val="28"/>
      <w:szCs w:val="24"/>
    </w:rPr>
  </w:style>
  <w:style w:type="character" w:styleId="910" w:customStyle="1">
    <w:name w:val="Заголовок 2 Знак"/>
    <w:link w:val="90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911">
    <w:name w:val="Balloon Text"/>
    <w:basedOn w:val="899"/>
    <w:link w:val="912"/>
    <w:uiPriority w:val="99"/>
    <w:semiHidden/>
    <w:unhideWhenUsed/>
    <w:rPr>
      <w:rFonts w:ascii="Tahoma" w:hAnsi="Tahoma" w:cs="Tahoma"/>
      <w:sz w:val="16"/>
      <w:szCs w:val="16"/>
    </w:rPr>
  </w:style>
  <w:style w:type="character" w:styleId="912" w:customStyle="1">
    <w:name w:val="Текст выноски Знак"/>
    <w:link w:val="911"/>
    <w:uiPriority w:val="99"/>
    <w:semiHidden/>
    <w:rPr>
      <w:rFonts w:ascii="Tahoma" w:hAnsi="Tahoma" w:cs="Tahoma"/>
      <w:sz w:val="16"/>
      <w:szCs w:val="16"/>
    </w:rPr>
  </w:style>
  <w:style w:type="paragraph" w:styleId="913">
    <w:name w:val="E-mail Signature"/>
    <w:basedOn w:val="899"/>
    <w:link w:val="914"/>
    <w:uiPriority w:val="99"/>
    <w:semiHidden/>
    <w:unhideWhenUsed/>
    <w:rPr>
      <w:rFonts w:ascii="Calibri" w:hAnsi="Calibri"/>
      <w:sz w:val="22"/>
      <w:szCs w:val="22"/>
    </w:rPr>
  </w:style>
  <w:style w:type="character" w:styleId="914" w:customStyle="1">
    <w:name w:val="Электронная подпись Знак"/>
    <w:link w:val="913"/>
    <w:uiPriority w:val="99"/>
    <w:semiHidden/>
    <w:rPr>
      <w:rFonts w:ascii="Calibri" w:hAnsi="Calibri" w:eastAsia="Times New Roman" w:cs="Times New Roman"/>
      <w:lang w:eastAsia="ru-RU"/>
    </w:rPr>
  </w:style>
  <w:style w:type="paragraph" w:styleId="915" w:customStyle="1">
    <w:name w:val="Знак"/>
    <w:basedOn w:val="899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916">
    <w:name w:val="Table Grid"/>
    <w:basedOn w:val="90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>
    <w:name w:val="Body Text Indent"/>
    <w:basedOn w:val="899"/>
    <w:pPr>
      <w:ind w:left="283"/>
      <w:spacing w:after="120"/>
    </w:pPr>
    <w:rPr>
      <w:sz w:val="24"/>
      <w:szCs w:val="24"/>
    </w:rPr>
  </w:style>
  <w:style w:type="paragraph" w:styleId="918" w:customStyle="1">
    <w:name w:val="ConsPlusNormal"/>
    <w:uiPriority w:val="99"/>
    <w:pPr>
      <w:ind w:firstLine="720"/>
      <w:widowControl w:val="off"/>
    </w:pPr>
    <w:rPr>
      <w:rFonts w:ascii="Arial" w:hAnsi="Arial" w:eastAsia="Times New Roman" w:cs="Arial"/>
    </w:rPr>
  </w:style>
  <w:style w:type="paragraph" w:styleId="919">
    <w:name w:val="List Paragraph"/>
    <w:basedOn w:val="899"/>
    <w:link w:val="920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920" w:customStyle="1">
    <w:name w:val="Абзац списка Знак"/>
    <w:link w:val="919"/>
    <w:uiPriority w:val="34"/>
    <w:rPr>
      <w:rFonts w:eastAsia="Times New Roman"/>
      <w:sz w:val="22"/>
      <w:szCs w:val="22"/>
    </w:rPr>
  </w:style>
  <w:style w:type="paragraph" w:styleId="921">
    <w:name w:val="Body Text"/>
    <w:basedOn w:val="899"/>
    <w:link w:val="922"/>
    <w:uiPriority w:val="99"/>
    <w:pPr>
      <w:spacing w:after="120"/>
    </w:pPr>
  </w:style>
  <w:style w:type="character" w:styleId="922" w:customStyle="1">
    <w:name w:val="Основной текст Знак"/>
    <w:link w:val="921"/>
    <w:uiPriority w:val="99"/>
    <w:rPr>
      <w:rFonts w:ascii="Times New Roman" w:hAnsi="Times New Roman" w:eastAsia="Times New Roman"/>
    </w:rPr>
  </w:style>
  <w:style w:type="character" w:styleId="923">
    <w:name w:val="Hyperlink"/>
    <w:unhideWhenUsed/>
    <w:rPr>
      <w:color w:val="0000ff"/>
      <w:u w:val="single"/>
    </w:rPr>
  </w:style>
  <w:style w:type="character" w:styleId="924">
    <w:name w:val="FollowedHyperlink"/>
    <w:uiPriority w:val="99"/>
    <w:rPr>
      <w:color w:val="800080"/>
      <w:u w:val="single"/>
    </w:rPr>
  </w:style>
  <w:style w:type="paragraph" w:styleId="925">
    <w:name w:val="Title"/>
    <w:basedOn w:val="899"/>
    <w:qFormat/>
    <w:pPr>
      <w:jc w:val="center"/>
    </w:pPr>
    <w:rPr>
      <w:b/>
      <w:sz w:val="24"/>
      <w:szCs w:val="24"/>
    </w:rPr>
  </w:style>
  <w:style w:type="paragraph" w:styleId="926">
    <w:name w:val="Body Text Indent 2"/>
    <w:basedOn w:val="899"/>
    <w:pPr>
      <w:ind w:left="708"/>
      <w:jc w:val="both"/>
    </w:pPr>
    <w:rPr>
      <w:sz w:val="28"/>
      <w:szCs w:val="24"/>
    </w:rPr>
  </w:style>
  <w:style w:type="paragraph" w:styleId="927">
    <w:name w:val="Body Text Indent 3"/>
    <w:basedOn w:val="899"/>
    <w:pPr>
      <w:ind w:left="708" w:firstLine="709"/>
      <w:jc w:val="both"/>
    </w:pPr>
    <w:rPr>
      <w:sz w:val="28"/>
      <w:szCs w:val="24"/>
    </w:rPr>
  </w:style>
  <w:style w:type="paragraph" w:styleId="928">
    <w:name w:val="Body Text 2"/>
    <w:basedOn w:val="899"/>
    <w:pPr>
      <w:jc w:val="center"/>
    </w:pPr>
    <w:rPr>
      <w:bCs/>
      <w:sz w:val="28"/>
      <w:szCs w:val="24"/>
    </w:rPr>
  </w:style>
  <w:style w:type="character" w:styleId="929" w:customStyle="1">
    <w:name w:val="Заголовок 7 Знак"/>
    <w:rPr>
      <w:sz w:val="24"/>
      <w:szCs w:val="24"/>
    </w:rPr>
  </w:style>
  <w:style w:type="paragraph" w:styleId="930">
    <w:name w:val="Body Text 3"/>
    <w:basedOn w:val="899"/>
    <w:rPr>
      <w:sz w:val="24"/>
    </w:rPr>
  </w:style>
  <w:style w:type="paragraph" w:styleId="931">
    <w:name w:val="Header"/>
    <w:basedOn w:val="899"/>
    <w:link w:val="932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932" w:customStyle="1">
    <w:name w:val="Верхний колонтитул Знак"/>
    <w:basedOn w:val="906"/>
    <w:link w:val="931"/>
    <w:uiPriority w:val="99"/>
    <w:rPr>
      <w:rFonts w:ascii="Times New Roman" w:hAnsi="Times New Roman" w:eastAsia="Times New Roman"/>
      <w:sz w:val="28"/>
      <w:szCs w:val="24"/>
    </w:rPr>
  </w:style>
  <w:style w:type="paragraph" w:styleId="933">
    <w:name w:val="Footer"/>
    <w:basedOn w:val="899"/>
    <w:link w:val="934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934" w:customStyle="1">
    <w:name w:val="Нижний колонтитул Знак"/>
    <w:basedOn w:val="906"/>
    <w:link w:val="933"/>
    <w:uiPriority w:val="99"/>
    <w:rPr>
      <w:rFonts w:ascii="Times New Roman" w:hAnsi="Times New Roman" w:eastAsia="Times New Roman"/>
      <w:sz w:val="28"/>
      <w:szCs w:val="24"/>
    </w:rPr>
  </w:style>
  <w:style w:type="paragraph" w:styleId="935" w:customStyle="1">
    <w:name w:val="Знак1 Знак Знак Знак Знак Знак Знак"/>
    <w:basedOn w:val="899"/>
    <w:pPr>
      <w:spacing w:after="160" w:line="240" w:lineRule="exact"/>
    </w:pPr>
    <w:rPr>
      <w:rFonts w:ascii="Verdana" w:hAnsi="Verdana"/>
      <w:lang w:val="en-US" w:eastAsia="en-US"/>
    </w:rPr>
  </w:style>
  <w:style w:type="paragraph" w:styleId="936" w:customStyle="1">
    <w:name w:val="Знак1"/>
    <w:basedOn w:val="899"/>
    <w:pPr>
      <w:spacing w:after="160" w:line="240" w:lineRule="exact"/>
    </w:pPr>
    <w:rPr>
      <w:rFonts w:ascii="Verdana" w:hAnsi="Verdana"/>
      <w:lang w:val="en-US" w:eastAsia="en-US"/>
    </w:rPr>
  </w:style>
  <w:style w:type="paragraph" w:styleId="937" w:customStyle="1">
    <w:name w:val="Знак"/>
    <w:basedOn w:val="899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938">
    <w:name w:val="Plain Text"/>
    <w:basedOn w:val="899"/>
    <w:link w:val="939"/>
    <w:uiPriority w:val="99"/>
    <w:rPr>
      <w:rFonts w:ascii="Courier New" w:hAnsi="Courier New" w:cs="Courier New"/>
    </w:rPr>
  </w:style>
  <w:style w:type="character" w:styleId="939" w:customStyle="1">
    <w:name w:val="Текст Знак"/>
    <w:link w:val="938"/>
    <w:uiPriority w:val="99"/>
    <w:rPr>
      <w:rFonts w:ascii="Courier New" w:hAnsi="Courier New" w:cs="Courier New"/>
      <w:lang w:val="ru-RU" w:eastAsia="ru-RU" w:bidi="ar-SA"/>
    </w:rPr>
  </w:style>
  <w:style w:type="paragraph" w:styleId="940">
    <w:name w:val="Normal (Web)"/>
    <w:basedOn w:val="899"/>
    <w:uiPriority w:val="99"/>
    <w:pPr>
      <w:ind w:firstLine="75"/>
      <w:spacing w:before="75" w:after="75"/>
    </w:pPr>
    <w:rPr>
      <w:rFonts w:ascii="Arial" w:hAnsi="Arial" w:cs="Arial"/>
      <w:sz w:val="24"/>
      <w:szCs w:val="24"/>
    </w:rPr>
  </w:style>
  <w:style w:type="character" w:styleId="941">
    <w:name w:val="page number"/>
    <w:basedOn w:val="906"/>
  </w:style>
  <w:style w:type="paragraph" w:styleId="942" w:customStyle="1">
    <w:name w:val="Основной текст 21"/>
    <w:basedOn w:val="899"/>
    <w:pPr>
      <w:ind w:firstLine="360"/>
      <w:jc w:val="both"/>
    </w:pPr>
    <w:rPr>
      <w:sz w:val="24"/>
    </w:rPr>
  </w:style>
  <w:style w:type="paragraph" w:styleId="943" w:customStyle="1">
    <w:name w:val="Знак Знак Знак Знак Знак Знак Знак Знак Знак Знак"/>
    <w:basedOn w:val="899"/>
    <w:pPr>
      <w:spacing w:after="160" w:line="240" w:lineRule="exact"/>
    </w:pPr>
    <w:rPr>
      <w:rFonts w:ascii="Verdana" w:hAnsi="Verdana"/>
      <w:lang w:val="en-US" w:eastAsia="en-US"/>
    </w:rPr>
  </w:style>
  <w:style w:type="paragraph" w:styleId="944" w:customStyle="1">
    <w:name w:val="Знак Знак Знак Знак"/>
    <w:basedOn w:val="899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945" w:customStyle="1">
    <w:name w:val="ConsPlusTitle"/>
    <w:uiPriority w:val="99"/>
    <w:rPr>
      <w:rFonts w:ascii="Times New Roman" w:hAnsi="Times New Roman" w:eastAsia="Times New Roman"/>
      <w:b/>
      <w:bCs/>
      <w:sz w:val="28"/>
      <w:szCs w:val="28"/>
    </w:rPr>
  </w:style>
  <w:style w:type="character" w:styleId="946" w:customStyle="1">
    <w:name w:val="zagolovok"/>
    <w:basedOn w:val="906"/>
  </w:style>
  <w:style w:type="paragraph" w:styleId="947" w:customStyle="1">
    <w:name w:val="Char Char Char"/>
    <w:basedOn w:val="8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48" w:customStyle="1">
    <w:name w:val="Font Style26"/>
    <w:rPr>
      <w:rFonts w:ascii="Times New Roman" w:hAnsi="Times New Roman" w:cs="Times New Roman"/>
      <w:sz w:val="24"/>
      <w:szCs w:val="24"/>
    </w:rPr>
  </w:style>
  <w:style w:type="character" w:styleId="949" w:customStyle="1">
    <w:name w:val="Гипертекстовая ссылка"/>
    <w:uiPriority w:val="99"/>
    <w:rPr>
      <w:b/>
      <w:bCs/>
      <w:color w:val="106bbe"/>
    </w:rPr>
  </w:style>
  <w:style w:type="paragraph" w:styleId="950">
    <w:name w:val="footnote text"/>
    <w:basedOn w:val="899"/>
    <w:link w:val="951"/>
    <w:uiPriority w:val="99"/>
  </w:style>
  <w:style w:type="character" w:styleId="951" w:customStyle="1">
    <w:name w:val="Текст сноски Знак"/>
    <w:basedOn w:val="906"/>
    <w:link w:val="950"/>
    <w:uiPriority w:val="99"/>
    <w:rPr>
      <w:rFonts w:ascii="Times New Roman" w:hAnsi="Times New Roman" w:eastAsia="Times New Roman"/>
    </w:rPr>
  </w:style>
  <w:style w:type="character" w:styleId="952">
    <w:name w:val="footnote reference"/>
    <w:uiPriority w:val="99"/>
    <w:rPr>
      <w:vertAlign w:val="superscript"/>
    </w:rPr>
  </w:style>
  <w:style w:type="paragraph" w:styleId="953" w:customStyle="1">
    <w:name w:val="Standard"/>
    <w:rPr>
      <w:rFonts w:ascii="Arial Unicode MS" w:hAnsi="Arial Unicode MS" w:eastAsia="Arial Unicode MS" w:cs="Arial Unicode MS"/>
      <w:color w:val="000000"/>
      <w:sz w:val="24"/>
      <w:szCs w:val="24"/>
      <w:lang w:eastAsia="en-US"/>
    </w:rPr>
  </w:style>
  <w:style w:type="paragraph" w:styleId="954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55" w:customStyle="1">
    <w:name w:val="Основной текст (2)_"/>
    <w:basedOn w:val="906"/>
    <w:link w:val="956"/>
    <w:rPr>
      <w:rFonts w:ascii="Times New Roman" w:hAnsi="Times New Roman" w:eastAsia="Times New Roman"/>
      <w:sz w:val="44"/>
      <w:szCs w:val="44"/>
      <w:shd w:val="clear" w:color="auto" w:fill="ffffff"/>
    </w:rPr>
  </w:style>
  <w:style w:type="paragraph" w:styleId="956" w:customStyle="1">
    <w:name w:val="Основной текст (2)"/>
    <w:basedOn w:val="899"/>
    <w:link w:val="955"/>
    <w:pPr>
      <w:jc w:val="both"/>
      <w:spacing w:before="660" w:after="480" w:line="0" w:lineRule="atLeast"/>
      <w:shd w:val="clear" w:color="auto" w:fill="ffffff"/>
      <w:widowControl w:val="off"/>
    </w:pPr>
    <w:rPr>
      <w:sz w:val="44"/>
      <w:szCs w:val="44"/>
    </w:rPr>
  </w:style>
  <w:style w:type="character" w:styleId="957" w:customStyle="1">
    <w:name w:val="Основной текст (2) + 19 pt"/>
    <w:basedOn w:val="955"/>
    <w:rPr>
      <w:rFonts w:ascii="Times New Roman" w:hAnsi="Times New Roman" w:eastAsia="Times New Roman"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styleId="958" w:customStyle="1">
    <w:name w:val="Основной текст (2) + 19 pt;Полужирный"/>
    <w:basedOn w:val="955"/>
    <w:rPr>
      <w:rFonts w:ascii="Times New Roman" w:hAnsi="Times New Roman" w:eastAsia="Times New Roman"/>
      <w:b/>
      <w:bCs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styleId="959" w:customStyle="1">
    <w:name w:val="Основной текст (44) + Times New Roman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table" w:styleId="960" w:customStyle="1">
    <w:name w:val="Сетка таблицы11"/>
    <w:basedOn w:val="907"/>
    <w:next w:val="916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1" w:customStyle="1">
    <w:name w:val="Сетка таблицы2"/>
    <w:basedOn w:val="907"/>
    <w:next w:val="916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2" w:customStyle="1">
    <w:name w:val="Сетка таблицы3"/>
    <w:basedOn w:val="907"/>
    <w:next w:val="916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3" w:customStyle="1">
    <w:name w:val="Сетка таблицы4"/>
    <w:basedOn w:val="907"/>
    <w:next w:val="916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4" w:customStyle="1">
    <w:name w:val="Стандартный HTML Знак"/>
    <w:basedOn w:val="906"/>
    <w:link w:val="965"/>
    <w:uiPriority w:val="99"/>
    <w:semiHidden/>
    <w:rPr>
      <w:rFonts w:ascii="Times New Roman" w:hAnsi="Times New Roman" w:eastAsiaTheme="minorEastAsia"/>
      <w:sz w:val="22"/>
      <w:szCs w:val="22"/>
    </w:rPr>
  </w:style>
  <w:style w:type="paragraph" w:styleId="965">
    <w:name w:val="HTML Preformatted"/>
    <w:basedOn w:val="899"/>
    <w:link w:val="964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eastAsiaTheme="minorEastAsia"/>
      <w:sz w:val="22"/>
      <w:szCs w:val="22"/>
    </w:rPr>
  </w:style>
  <w:style w:type="character" w:styleId="966" w:customStyle="1">
    <w:name w:val="Текст концевой сноски Знак"/>
    <w:basedOn w:val="906"/>
    <w:link w:val="967"/>
    <w:uiPriority w:val="99"/>
    <w:semiHidden/>
    <w:rPr>
      <w:rFonts w:ascii="Times New Roman" w:hAnsi="Times New Roman" w:eastAsia="Times New Roman"/>
    </w:rPr>
  </w:style>
  <w:style w:type="paragraph" w:styleId="967">
    <w:name w:val="endnote text"/>
    <w:basedOn w:val="899"/>
    <w:link w:val="966"/>
    <w:uiPriority w:val="99"/>
    <w:semiHidden/>
    <w:unhideWhenUsed/>
  </w:style>
  <w:style w:type="paragraph" w:styleId="968">
    <w:name w:val="No Spacing"/>
    <w:uiPriority w:val="1"/>
    <w:qFormat/>
    <w:rPr>
      <w:rFonts w:eastAsia="Times New Roman"/>
      <w:sz w:val="22"/>
      <w:szCs w:val="22"/>
    </w:rPr>
  </w:style>
  <w:style w:type="paragraph" w:styleId="969" w:customStyle="1">
    <w:name w:val="Знак Знак Знак Знак Знак Знак Знак Знак Знак Знак Знак Знак Знак Знак Знак Знак Знак Знак Знак Знак Знак Знак"/>
    <w:basedOn w:val="899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70" w:customStyle="1">
    <w:name w:val="msonormal_mr_css_attr"/>
    <w:basedOn w:val="899"/>
    <w:uiPriority w:val="9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971" w:customStyle="1">
    <w:name w:val="Сетка таблицы1"/>
    <w:basedOn w:val="907"/>
    <w:next w:val="916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72">
    <w:name w:val="annotation reference"/>
    <w:basedOn w:val="906"/>
    <w:uiPriority w:val="99"/>
    <w:semiHidden/>
    <w:unhideWhenUsed/>
    <w:rPr>
      <w:sz w:val="16"/>
      <w:szCs w:val="16"/>
    </w:rPr>
  </w:style>
  <w:style w:type="paragraph" w:styleId="973">
    <w:name w:val="annotation text"/>
    <w:basedOn w:val="899"/>
    <w:link w:val="974"/>
    <w:uiPriority w:val="99"/>
    <w:semiHidden/>
    <w:unhideWhenUsed/>
  </w:style>
  <w:style w:type="character" w:styleId="974" w:customStyle="1">
    <w:name w:val="Текст примечания Знак"/>
    <w:basedOn w:val="906"/>
    <w:link w:val="973"/>
    <w:uiPriority w:val="99"/>
    <w:semiHidden/>
    <w:rPr>
      <w:rFonts w:ascii="Times New Roman" w:hAnsi="Times New Roman" w:eastAsia="Times New Roman"/>
    </w:rPr>
  </w:style>
  <w:style w:type="paragraph" w:styleId="975">
    <w:name w:val="annotation subject"/>
    <w:basedOn w:val="973"/>
    <w:next w:val="973"/>
    <w:link w:val="976"/>
    <w:uiPriority w:val="99"/>
    <w:semiHidden/>
    <w:unhideWhenUsed/>
    <w:rPr>
      <w:b/>
      <w:bCs/>
    </w:rPr>
  </w:style>
  <w:style w:type="character" w:styleId="976" w:customStyle="1">
    <w:name w:val="Тема примечания Знак"/>
    <w:basedOn w:val="974"/>
    <w:link w:val="975"/>
    <w:uiPriority w:val="99"/>
    <w:semiHidden/>
    <w:rPr>
      <w:rFonts w:ascii="Times New Roman" w:hAnsi="Times New Roman" w:eastAsia="Times New Roman"/>
      <w:b/>
      <w:bCs/>
    </w:rPr>
  </w:style>
  <w:style w:type="character" w:styleId="977" w:customStyle="1">
    <w:name w:val="Основной текст_"/>
    <w:basedOn w:val="906"/>
    <w:link w:val="978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978" w:customStyle="1">
    <w:name w:val="Основной текст1"/>
    <w:basedOn w:val="899"/>
    <w:link w:val="977"/>
    <w:pPr>
      <w:jc w:val="right"/>
      <w:spacing w:before="420" w:line="322" w:lineRule="exact"/>
      <w:shd w:val="clear" w:color="auto" w:fill="ffffff"/>
      <w:widowControl w:val="off"/>
    </w:pPr>
    <w:rPr>
      <w:sz w:val="26"/>
      <w:szCs w:val="26"/>
    </w:rPr>
  </w:style>
  <w:style w:type="character" w:styleId="979" w:customStyle="1">
    <w:name w:val="Основной текст + 11;5 pt"/>
    <w:basedOn w:val="977"/>
    <w:rPr>
      <w:rFonts w:ascii="Times New Roman" w:hAnsi="Times New Roman" w:eastAsia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styleId="980" w:customStyle="1">
    <w:name w:val="Основной текст (3)_"/>
    <w:basedOn w:val="906"/>
    <w:link w:val="981"/>
    <w:rPr>
      <w:rFonts w:ascii="Times New Roman" w:hAnsi="Times New Roman" w:eastAsia="Times New Roman"/>
      <w:sz w:val="23"/>
      <w:szCs w:val="23"/>
      <w:shd w:val="clear" w:color="auto" w:fill="ffffff"/>
    </w:rPr>
  </w:style>
  <w:style w:type="paragraph" w:styleId="981" w:customStyle="1">
    <w:name w:val="Основной текст (3)"/>
    <w:basedOn w:val="899"/>
    <w:link w:val="980"/>
    <w:pPr>
      <w:jc w:val="both"/>
      <w:spacing w:before="420" w:line="0" w:lineRule="atLeast"/>
      <w:shd w:val="clear" w:color="auto" w:fill="ffffff"/>
      <w:widowControl w:val="off"/>
    </w:pPr>
    <w:rPr>
      <w:sz w:val="23"/>
      <w:szCs w:val="23"/>
    </w:rPr>
  </w:style>
  <w:style w:type="character" w:styleId="982" w:customStyle="1">
    <w:name w:val="Основной текст + 11 pt;Полужирный"/>
    <w:basedOn w:val="977"/>
    <w:rPr>
      <w:rFonts w:ascii="Times New Roman" w:hAnsi="Times New Roman" w:eastAsia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character" w:styleId="983" w:customStyle="1">
    <w:name w:val="Основной текст + 11;5 pt;Курсив"/>
    <w:basedOn w:val="977"/>
    <w:rPr>
      <w:rFonts w:ascii="Times New Roman" w:hAnsi="Times New Roman" w:eastAsia="Times New Roman"/>
      <w:b w:val="0"/>
      <w:bCs w:val="0"/>
      <w:i/>
      <w:iCs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character" w:styleId="984" w:customStyle="1">
    <w:name w:val="Основной текст + Sylfaen;8 pt"/>
    <w:basedOn w:val="977"/>
    <w:rPr>
      <w:rFonts w:ascii="Sylfaen" w:hAnsi="Sylfaen" w:eastAsia="Sylfaen" w:cs="Sylfaen"/>
      <w:b w:val="0"/>
      <w:bCs w:val="0"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9EEF4-AE64-4C9A-BA67-32D5F869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ДОиН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revision>21</cp:revision>
  <dcterms:created xsi:type="dcterms:W3CDTF">2022-10-26T10:59:00Z</dcterms:created>
  <dcterms:modified xsi:type="dcterms:W3CDTF">2025-10-29T06:32:11Z</dcterms:modified>
</cp:coreProperties>
</file>