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8890" distL="0" distR="5715" simplePos="0" locked="0" layoutInCell="1" allowOverlap="1" relativeHeight="3">
                <wp:simplePos x="0" y="0"/>
                <wp:positionH relativeFrom="column">
                  <wp:posOffset>2428240</wp:posOffset>
                </wp:positionH>
                <wp:positionV relativeFrom="paragraph">
                  <wp:posOffset>68580</wp:posOffset>
                </wp:positionV>
                <wp:extent cx="1232535" cy="904875"/>
                <wp:effectExtent l="635" t="635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284"/>
                              <w:jc w:val="center"/>
                              <w:rPr/>
                            </w:pPr>
                            <w:r>
                              <w:rPr/>
                              <w:t xml:space="preserve">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797560" cy="73152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191.2pt;margin-top:5.4pt;width:97pt;height:71.2pt;mso-wrap-style:square;v-text-anchor:top">
                <v:fill o:detectmouseclick="t" type="solid" color2="black"/>
                <v:stroke color="#3465a4" joinstyle="miter" endcap="flat"/>
                <v:textbox>
                  <w:txbxContent>
                    <w:p>
                      <w:pPr>
                        <w:pStyle w:val="Style28"/>
                        <w:ind w:start="-284"/>
                        <w:jc w:val="center"/>
                        <w:rPr/>
                      </w:pPr>
                      <w:r>
                        <w:rPr/>
                        <w:t xml:space="preserve">     </w:t>
                      </w:r>
                      <w:r>
                        <w:rPr/>
                        <w:drawing>
                          <wp:inline distT="0" distB="0" distL="0" distR="0">
                            <wp:extent cx="797560" cy="731520"/>
                            <wp:effectExtent l="0" t="0" r="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6350" distL="0" distR="1270" simplePos="0" locked="0" layoutInCell="1" allowOverlap="1" relativeHeight="5">
                <wp:simplePos x="0" y="0"/>
                <wp:positionH relativeFrom="column">
                  <wp:posOffset>7620</wp:posOffset>
                </wp:positionH>
                <wp:positionV relativeFrom="paragraph">
                  <wp:posOffset>17145</wp:posOffset>
                </wp:positionV>
                <wp:extent cx="6113780" cy="698500"/>
                <wp:effectExtent l="0" t="0" r="0" b="0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6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8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8"/>
                              <w:ind w:star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0.6pt;margin-top:1.35pt;width:481.35pt;height:54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ind w:star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8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8"/>
                        <w:ind w:star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6350" distB="6350" distL="6350" distR="6350" simplePos="0" locked="0" layoutInCell="1" allowOverlap="1" relativeHeight="8">
                <wp:simplePos x="0" y="0"/>
                <wp:positionH relativeFrom="column">
                  <wp:posOffset>156845</wp:posOffset>
                </wp:positionH>
                <wp:positionV relativeFrom="paragraph">
                  <wp:posOffset>90170</wp:posOffset>
                </wp:positionV>
                <wp:extent cx="5805170" cy="200533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20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организации обучающих мероприятий для лиц, привлекаемых </w:t>
                              <w:br/>
                              <w:t>к подготовке и проведению государственной итоговой аттестации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 образовательным программам основного общего и среднего общего образования, единого государственного экзамена,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итогового сочинения (изложения), итогового собеседования по русскому языку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территории </w:t>
                              <w:br/>
                              <w:t xml:space="preserve">Ханты-Мансийского автономного округа – Югры в 2025/2026 учебном году и дополнительном периоде 2026 года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white" stroked="f" o:allowincell="f" style="position:absolute;margin-left:12.35pt;margin-top:7.1pt;width:457.05pt;height:157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Default"/>
                        <w:jc w:val="center"/>
                        <w:rPr/>
                      </w:pPr>
                      <w:r>
                        <w:rPr>
                          <w:sz w:val="28"/>
                          <w:szCs w:val="28"/>
                        </w:rPr>
                        <w:t xml:space="preserve">Об организации обучающих мероприятий для лиц, привлекаемых </w:t>
                        <w:br/>
                        <w:t>к подготовке и проведению государственной итоговой аттестации</w:t>
                      </w:r>
                    </w:p>
                    <w:p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 образовательным программам основного общего и среднего общего образования, единого государственного экзамена, 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итогового сочинения (изложения), итогового собеседования по русскому языку</w:t>
                      </w:r>
                      <w:r>
                        <w:rPr>
                          <w:sz w:val="28"/>
                          <w:szCs w:val="28"/>
                        </w:rPr>
                        <w:t xml:space="preserve"> на территории </w:t>
                        <w:br/>
                        <w:t xml:space="preserve">Ханты-Мансийского автономного округа – Югры в 2025/2026 учебном году и дополнительном периоде 2026 года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  <w:lang w:val="en-US"/>
        </w:rPr>
        <w:t>29.10.2025</w:t>
        <w:tab/>
        <w:tab/>
        <w:tab/>
        <w:tab/>
        <w:tab/>
        <w:tab/>
        <w:tab/>
        <w:tab/>
        <w:tab/>
        <w:tab/>
      </w:r>
      <w:r>
        <w:rPr>
          <w:color w:val="auto"/>
          <w:sz w:val="24"/>
          <w:szCs w:val="24"/>
        </w:rPr>
        <w:t xml:space="preserve">№  </w:t>
      </w:r>
      <w:r>
        <w:rPr>
          <w:color w:val="auto"/>
          <w:sz w:val="24"/>
          <w:szCs w:val="24"/>
          <w:lang w:val="en-US"/>
        </w:rPr>
        <w:t>10-</w:t>
      </w:r>
      <w:r>
        <w:rPr>
          <w:color w:val="auto"/>
          <w:sz w:val="24"/>
          <w:szCs w:val="24"/>
          <w:lang w:val="ru-RU"/>
        </w:rPr>
        <w:t>П</w:t>
      </w:r>
      <w:r>
        <w:rPr>
          <w:color w:val="auto"/>
          <w:sz w:val="24"/>
          <w:szCs w:val="24"/>
          <w:lang w:val="en-US"/>
        </w:rPr>
        <w:t>-2138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uppressLineNumbers w:val="0"/>
        <w:spacing w:lineRule="auto" w:line="288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соответствии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пунктами</w:t>
      </w:r>
      <w:r>
        <w:rPr>
          <w:rFonts w:cs="Times New Roman"/>
          <w:spacing w:val="1"/>
          <w:sz w:val="28"/>
          <w:szCs w:val="28"/>
        </w:rPr>
        <w:t xml:space="preserve"> 26, 39 </w:t>
      </w:r>
      <w:r>
        <w:rPr>
          <w:rFonts w:cs="Times New Roman"/>
          <w:sz w:val="28"/>
          <w:szCs w:val="28"/>
        </w:rPr>
        <w:t>Порядка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итоговой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аттестации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образовательным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программам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основного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утвержденного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приказом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Министерства</w:t>
      </w:r>
      <w:r>
        <w:rPr>
          <w:rFonts w:cs="Times New Roman"/>
          <w:spacing w:val="-6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просвещения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Федеральной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службы по надзору</w:t>
      </w:r>
      <w:r>
        <w:rPr>
          <w:rFonts w:cs="Times New Roman"/>
          <w:spacing w:val="1"/>
          <w:sz w:val="28"/>
          <w:szCs w:val="28"/>
        </w:rPr>
        <w:t xml:space="preserve"> </w:t>
        <w:br/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сфере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науки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>
        <w:rPr>
          <w:rFonts w:cs="Times New Roman"/>
          <w:spacing w:val="1"/>
          <w:sz w:val="28"/>
          <w:szCs w:val="28"/>
          <w:highlight w:val="white"/>
        </w:rPr>
        <w:t xml:space="preserve"> 04.04.2023</w:t>
      </w:r>
      <w:r>
        <w:rPr>
          <w:rFonts w:cs="Times New Roman"/>
          <w:sz w:val="28"/>
          <w:szCs w:val="28"/>
          <w:highlight w:val="white"/>
        </w:rPr>
        <w:t xml:space="preserve"> № 232/551</w:t>
      </w:r>
      <w:r>
        <w:rPr>
          <w:rFonts w:cs="Times New Roman"/>
          <w:sz w:val="28"/>
          <w:szCs w:val="28"/>
        </w:rPr>
        <w:t>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пунктами 32, 44 Порядка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rFonts w:cs="Times New Roman"/>
          <w:spacing w:val="7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итоговой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аттестации </w:t>
        <w:br/>
        <w:t>по образовательным программам среднего общего образования,</w:t>
      </w:r>
      <w:r>
        <w:rPr>
          <w:rFonts w:cs="Times New Roman"/>
          <w:spacing w:val="-6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утвержденного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приказом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Министерства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просвещения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>
        <w:rPr>
          <w:rFonts w:cs="Times New Roman"/>
          <w:spacing w:val="-6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>
        <w:rPr>
          <w:rFonts w:cs="Times New Roman"/>
          <w:spacing w:val="48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pacing w:val="12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Федеральной</w:t>
      </w:r>
      <w:r>
        <w:rPr>
          <w:rFonts w:cs="Times New Roman"/>
          <w:spacing w:val="11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службы</w:t>
      </w:r>
      <w:r>
        <w:rPr>
          <w:rFonts w:cs="Times New Roman"/>
          <w:spacing w:val="118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</w:t>
      </w:r>
      <w:r>
        <w:rPr>
          <w:rFonts w:cs="Times New Roman"/>
          <w:spacing w:val="118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надзору</w:t>
      </w:r>
      <w:r>
        <w:rPr>
          <w:rFonts w:cs="Times New Roman"/>
          <w:spacing w:val="11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pacing w:val="119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сфере</w:t>
      </w:r>
      <w:r>
        <w:rPr>
          <w:rFonts w:cs="Times New Roman"/>
          <w:spacing w:val="12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образования</w:t>
      </w:r>
      <w:r>
        <w:rPr>
          <w:rFonts w:cs="Times New Roman"/>
          <w:spacing w:val="-68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науки </w:t>
        <w:br/>
        <w:t xml:space="preserve">от </w:t>
      </w:r>
      <w:r>
        <w:rPr>
          <w:rFonts w:cs="Times New Roman"/>
          <w:sz w:val="28"/>
          <w:szCs w:val="28"/>
        </w:rPr>
        <w:t>04.04.2023</w:t>
      </w:r>
      <w:r>
        <w:rPr>
          <w:rFonts w:cs="Times New Roman"/>
          <w:sz w:val="28"/>
          <w:szCs w:val="28"/>
          <w:highlight w:val="white"/>
        </w:rPr>
        <w:t xml:space="preserve"> № 233/552</w:t>
      </w:r>
      <w:r>
        <w:rPr>
          <w:rFonts w:cs="Times New Roman"/>
          <w:sz w:val="28"/>
          <w:szCs w:val="28"/>
        </w:rPr>
        <w:t>, в целях повышения качества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подготовки,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организации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государственной</w:t>
      </w:r>
      <w:r>
        <w:rPr>
          <w:rFonts w:cs="Times New Roman"/>
          <w:spacing w:val="7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итоговой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аттестации </w:t>
        <w:br/>
        <w:t>по образовательным программам основного общего и среднего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общего образования, единого государственного экзамена (далее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 ГИА,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ЕГЭ)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на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территории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Ханты-Мансийского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автономного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округа –</w:t>
      </w:r>
      <w:r>
        <w:rPr>
          <w:rFonts w:cs="Times New Roman"/>
          <w:spacing w:val="7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Югры</w:t>
      </w:r>
      <w:r>
        <w:rPr>
          <w:rFonts w:cs="Times New Roman"/>
          <w:spacing w:val="1"/>
          <w:sz w:val="28"/>
          <w:szCs w:val="28"/>
        </w:rPr>
        <w:t xml:space="preserve"> </w:t>
        <w:br/>
      </w:r>
      <w:r>
        <w:rPr>
          <w:rFonts w:cs="Times New Roman"/>
          <w:sz w:val="28"/>
          <w:szCs w:val="28"/>
        </w:rPr>
        <w:t>в 2026 году, в том числе для обеспечения подготовки лиц, привлекаемых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  <w:t>к выполнению обязанностей в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пунктах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проведения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экзаменов,</w:t>
      </w:r>
      <w:r>
        <w:rPr>
          <w:rFonts w:cs="Times New Roman"/>
          <w:spacing w:val="1"/>
          <w:sz w:val="28"/>
          <w:szCs w:val="28"/>
        </w:rPr>
        <w:t xml:space="preserve"> региональных </w:t>
      </w:r>
      <w:r>
        <w:rPr>
          <w:rFonts w:cs="Times New Roman"/>
          <w:sz w:val="28"/>
          <w:szCs w:val="28"/>
        </w:rPr>
        <w:t>предметных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комиссиях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Ханты-Мансийского автономного округа – Югры, апелляционной комиссии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Ханты-Мансийского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автономного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округа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–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Югры,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также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лиц,</w:t>
      </w:r>
      <w:r>
        <w:rPr>
          <w:rFonts w:cs="Times New Roman"/>
          <w:spacing w:val="-67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привлекаемых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качестве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общественных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наблюдателей,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иных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лиц,</w:t>
      </w:r>
      <w:r>
        <w:rPr>
          <w:rFonts w:cs="Times New Roman"/>
          <w:spacing w:val="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привлекаемых к</w:t>
      </w:r>
      <w:r>
        <w:rPr>
          <w:rFonts w:cs="Times New Roman"/>
          <w:spacing w:val="-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проведению</w:t>
      </w:r>
      <w:r>
        <w:rPr>
          <w:rFonts w:cs="Times New Roman"/>
          <w:spacing w:val="-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ГИА,</w:t>
      </w:r>
      <w:r>
        <w:rPr>
          <w:rFonts w:cs="Times New Roman"/>
          <w:spacing w:val="-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ЕГЭ, а также к проведению итогового сочинения (изложения), итогового собеседования по русскому языку, результаты которых используются в качестве допуска к прохождению ГИА соответствующего уровня общего образования</w:t>
      </w:r>
    </w:p>
    <w:p>
      <w:pPr>
        <w:pStyle w:val="BodyText"/>
        <w:spacing w:lineRule="auto" w:line="288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spacing w:lineRule="auto" w:line="288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  <w:t>ПРИКАЗЫВАЮ:</w:t>
      </w:r>
    </w:p>
    <w:p>
      <w:pPr>
        <w:pStyle w:val="BodyText"/>
        <w:spacing w:lineRule="auto" w:line="288" w:beforeAutospacing="0" w:before="0" w:afterAutospacing="0" w:after="0"/>
        <w:ind w:firstLine="707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4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пунктах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экзаменов,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качестве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экспертов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региональных предметных</w:t>
      </w:r>
      <w:r>
        <w:rPr>
          <w:rFonts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комиссий</w:t>
      </w:r>
      <w:r>
        <w:rPr>
          <w:rFonts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общественных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наблюдателей,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членов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апелляционной комиссии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категорий специалистов, 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 проведению ГИА, ЕГЭ 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 территории </w:t>
        <w:br/>
        <w:t xml:space="preserve">Ханты-Мансийского автономного округа – Югры в 2025 году, а также лиц привлекаемых к проведению итогового сочинения (изложения), итогового собеседования по русскому языку, результаты которых используются </w:t>
        <w:br/>
        <w:t>в качестве допуска к прохождению ГИА соответствующего уровня общего образования в 2025/2026 учебном году, дополнительном периоде 2026 года (далее – лица, привлекаемые к организации проведения 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6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Автономному учреждению дополнительного профессионального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 Ханты-Мансийского автономного округа – Югры «Институт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развития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образования»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уполномоченной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осуществлять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функции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центра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обработки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(В.В.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Клюсова),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РЦОИ):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1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708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2025/2026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году,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дополнительном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периоде проведения ГИА, ЕГЭ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2026 года.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45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</w:rPr>
        <w:t>Функционирование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ресурса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дистанционного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обучения</w:t>
      </w:r>
      <w:r>
        <w:rPr>
          <w:rFonts w:cs="Times New Roman" w:ascii="Times New Roman" w:hAnsi="Times New Roman"/>
          <w:spacing w:val="-1"/>
          <w:sz w:val="28"/>
          <w:szCs w:val="28"/>
          <w:u w:val="none"/>
        </w:rPr>
        <w:t xml:space="preserve"> </w:t>
      </w:r>
      <w:hyperlink r:id="rId4" w:tooltip="http://www.moodle.rcoko86.ru/">
        <w:r>
          <w:rPr>
            <w:rStyle w:val="Style"/>
            <w:rFonts w:cs="Times New Roman" w:ascii="Times New Roman" w:hAnsi="Times New Roman"/>
            <w:sz w:val="28"/>
            <w:szCs w:val="28"/>
            <w:u w:val="none"/>
          </w:rPr>
          <w:t>www.moodle.rcoko86.ru</w:t>
        </w:r>
      </w:hyperlink>
      <w:r>
        <w:rPr>
          <w:rFonts w:cs="Times New Roman" w:ascii="Times New Roman" w:hAnsi="Times New Roman"/>
          <w:sz w:val="28"/>
          <w:szCs w:val="28"/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1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Организовать: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547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обучающих мероприятий для всех категорий 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9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организации</w:t>
      </w:r>
      <w:r>
        <w:rPr>
          <w:rFonts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языку, в том числе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в пределах государственных услуг (выполняемых работ), устанавливаемых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государственным заданием, утверждаемым Департаментом</w:t>
      </w: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науки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(далее</w:t>
      </w:r>
      <w:r>
        <w:rPr>
          <w:rFonts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Департамент).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679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обучающих мероприятиях для председателей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br/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экспертов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региональных </w:t>
      </w:r>
      <w:r>
        <w:rPr>
          <w:rFonts w:cs="Times New Roman" w:ascii="Times New Roman" w:hAnsi="Times New Roman"/>
          <w:sz w:val="28"/>
          <w:szCs w:val="28"/>
        </w:rPr>
        <w:t>предметных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комиссий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 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соответствующим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учебным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предметам,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специалистов,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проведению 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федеральном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уровне.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619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</w:t>
      </w:r>
      <w:r>
        <w:rPr>
          <w:rFonts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 и консультационных семинаров (вебинаров) для</w:t>
      </w:r>
      <w:r>
        <w:rPr>
          <w:rFonts w:cs="Times New Roman" w:ascii="Times New Roman" w:hAnsi="Times New Roman"/>
          <w:spacing w:val="9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организации проведения ГИА, ЕГЭ, итогового сочинения (изложения), итогового собеседования по русскому языку по вопросам подготовки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и проведения ГИА, ЕГЭ, а также итогового сочинения (изложения), итогового собеседования по русскому языку. 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576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</w:t>
      </w:r>
      <w:r>
        <w:rPr>
          <w:rFonts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контрольных</w:t>
      </w:r>
      <w:r>
        <w:rPr>
          <w:rFonts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мероприятий,</w:t>
      </w:r>
      <w:r>
        <w:rPr>
          <w:rFonts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предусматривающих,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в том числе квалификационные испытания, проводимые для установления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уровня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подготовленности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специалистов,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соответствующего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требованиям федерального законодательства и инструктивно-методических документов </w:t>
        <w:br/>
        <w:t>по вопросам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(далее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контрольные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89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направление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отдел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адаптированных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итоговой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аттестации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Управления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Департамента: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662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Утвержденного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всех категорий </w:t>
      </w:r>
      <w:r>
        <w:rPr>
          <w:rFonts w:cs="Times New Roman" w:ascii="Times New Roman" w:hAnsi="Times New Roman"/>
          <w:sz w:val="28"/>
          <w:szCs w:val="28"/>
        </w:rPr>
        <w:t>лиц, 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</w:t>
      </w:r>
      <w:r>
        <w:rPr>
          <w:rFonts w:cs="Times New Roman" w:ascii="Times New Roman" w:hAnsi="Times New Roman"/>
          <w:sz w:val="28"/>
          <w:szCs w:val="28"/>
        </w:rPr>
        <w:t>тории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2025/2026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учебном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году, дополнительном периоде проведения ГИА, ЕГЭ 2026 года, в срок не позднее 1</w:t>
      </w:r>
      <w:r>
        <w:rPr>
          <w:rFonts w:cs="Times New Roman" w:ascii="Times New Roman" w:hAnsi="Times New Roman"/>
          <w:sz w:val="28"/>
          <w:szCs w:val="28"/>
          <w:lang w:val="en-US"/>
        </w:rPr>
        <w:t>0</w:t>
      </w:r>
      <w:r>
        <w:rPr>
          <w:rFonts w:cs="Times New Roman" w:ascii="Times New Roman" w:hAnsi="Times New Roman"/>
          <w:sz w:val="28"/>
          <w:szCs w:val="28"/>
        </w:rPr>
        <w:t>.11.2025.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542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Отчета о проведении обучающих и контрольных мероприятий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подготовке</w:t>
      </w:r>
      <w:r>
        <w:rPr>
          <w:rFonts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 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2025/</w:t>
      </w:r>
      <w:r>
        <w:rPr>
          <w:rFonts w:cs="Times New Roman" w:ascii="Times New Roman" w:hAnsi="Times New Roman"/>
          <w:sz w:val="28"/>
          <w:szCs w:val="28"/>
        </w:rPr>
        <w:t>2026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учебном </w:t>
      </w:r>
      <w:r>
        <w:rPr>
          <w:rFonts w:cs="Times New Roman" w:ascii="Times New Roman" w:hAnsi="Times New Roman"/>
          <w:sz w:val="28"/>
          <w:szCs w:val="28"/>
        </w:rPr>
        <w:t>году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указанием: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количества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часов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мероприятий;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категории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br/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фактического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количества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участников;</w:t>
      </w:r>
      <w:r>
        <w:rPr>
          <w:rFonts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результатов участников по итогам обучения; методов работы с участниками, не прошедшими обучение), согласно форме, установленной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РЦОИ,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ежемесячно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числа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месяца,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следующего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 отчетным, начиная с ноября 2025 года.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648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отчета,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сформированного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учетом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подпункта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3.5 пункта 3,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подпункта 4.5 </w:t>
      </w:r>
      <w:r>
        <w:rPr>
          <w:rFonts w:cs="Times New Roman" w:ascii="Times New Roman" w:hAnsi="Times New Roman"/>
          <w:sz w:val="28"/>
          <w:szCs w:val="28"/>
        </w:rPr>
        <w:t>пункта 4, в срок не позднее, чем за 1 день до начала проведения каждого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экзамена, итогового сочинения (изложения), итогового собеседования по русскому языку.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42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Рекомендовать руководителям структурных подразделений исполнительно-распорядительных органов городских округов, муниципальных районов Ханты-Мансийского автономного округа – Югры, курирующих вопросы образования, руководителям государственных образовательных учреждений Ханты-Мансийского автономного </w:t>
        <w:br/>
        <w:t xml:space="preserve">округа – Югры, находящихся в ведении Департамента культуры </w:t>
        <w:br/>
        <w:t xml:space="preserve">Ханты-Мансийского автономного округа – Югры, Департамента физической культуры и спорта Ханты-Мансийского автономного округа – Югры, осуществляющих образовательную деятельность по образовательным программам общего образования (А.В. Тарасов, Е.А. Мишина, </w:t>
        <w:br/>
        <w:t>К.А. Васильев)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>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обеспечить: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6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РЦОИ заявки на обучение всех категорий 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 к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 ГИА,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91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(в государственной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 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br/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реализующей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программы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(или)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среднего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образования),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контрольных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мероприятиях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регионального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федерального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уровней.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997" w:leader="none"/>
          <w:tab w:val="left" w:pos="1999" w:leader="none"/>
          <w:tab w:val="left" w:pos="4082" w:leader="none"/>
          <w:tab w:val="left" w:pos="4989" w:leader="none"/>
          <w:tab w:val="left" w:pos="7167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Разработку и реализацию муниципального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(институционального) плана проведения обучающих мероприятий для лиц,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(в государственной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Ханты-Мансийского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автономного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br/>
        <w:t>–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Югры,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реализующей образовательные программы основного общего </w:t>
        <w:br/>
        <w:t>и (или) среднего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общего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образования).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56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инструктажей, контрольных мероприятий для всех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категорий</w:t>
      </w:r>
      <w:r>
        <w:rPr>
          <w:rFonts w:cs="Times New Roman" w:ascii="Times New Roman" w:hAnsi="Times New Roman"/>
          <w:spacing w:val="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6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6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3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3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3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3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 на</w:t>
      </w:r>
      <w:r>
        <w:rPr>
          <w:rFonts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территории муниципального образования (в государственной образовательной организации Ханты-Мансийского автономного округа </w:t>
        <w:br/>
        <w:t xml:space="preserve">– Югры, реализующей образовательные программы основного общего </w:t>
        <w:br/>
        <w:t xml:space="preserve">и (или) среднего общего образования), не позднее 5 рабочих дней до начала экзамена, итогового сочинения (изложения), итогового собеседования </w:t>
        <w:br/>
        <w:t>по русскому языку.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851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РЦОИ отчета о проведении мероприятий, установленных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подпунктом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3.4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пункта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приказа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произвольной форме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позднее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каждого экзамена, итогового сочинения (изложения), итогового собеседования </w:t>
        <w:br/>
        <w:t xml:space="preserve">по русскому языку. 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341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Руководителям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государственных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организаций Ханты-Мансийского автономного округа – Югры,</w:t>
      </w:r>
      <w:r>
        <w:rPr>
          <w:rFonts w:cs="Times New Roman" w:ascii="Times New Roman" w:hAnsi="Times New Roman"/>
          <w:spacing w:val="-6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находящихся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ведении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Департамента (далее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– образовательные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организации)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, в том числе на базе которых организуется проведение ГИА, ЕГЭ </w:t>
      </w:r>
      <w:r>
        <w:rPr>
          <w:rFonts w:cs="Times New Roman" w:ascii="Times New Roman" w:hAnsi="Times New Roman"/>
          <w:sz w:val="28"/>
          <w:szCs w:val="28"/>
        </w:rPr>
        <w:t xml:space="preserve">(Б.Т. Мамбетов, </w:t>
        <w:br/>
        <w:t>Л.В. Максимова,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О.В. Петрова, О.В. Елфимова, Г.К. Хидирлясов, </w:t>
        <w:br/>
        <w:t>И.И. Старостина, А.В. Жуков, Н.В. Свайкина, С.Ю. Платонова),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обеспечить: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63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РЦОИ заявки на обучение всех категорий 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 к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 ГИА,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02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Разработку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реализацию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плана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мероприятий для лиц, привлекаемых к организации проведения ГИА, 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, на </w:t>
      </w:r>
      <w:r>
        <w:rPr>
          <w:rFonts w:cs="Times New Roman" w:ascii="Times New Roman" w:hAnsi="Times New Roman"/>
          <w:sz w:val="28"/>
          <w:szCs w:val="28"/>
        </w:rPr>
        <w:t>уровне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образовательной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91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 в образовательных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организациях,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обучающих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мероприятиях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регионального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федерального уровней.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56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инструктажей, контрольных мероприятий для всех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категорий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лиц,</w:t>
      </w:r>
      <w:r>
        <w:rPr>
          <w:rFonts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привлекаемых</w:t>
      </w:r>
      <w:r>
        <w:rPr>
          <w:rFonts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pacing w:val="12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организации</w:t>
      </w:r>
      <w:r>
        <w:rPr>
          <w:rFonts w:cs="Times New Roman" w:ascii="Times New Roman" w:hAnsi="Times New Roman"/>
          <w:spacing w:val="12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2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ГИА,</w:t>
      </w:r>
      <w:r>
        <w:rPr>
          <w:rFonts w:cs="Times New Roman" w:ascii="Times New Roman" w:hAnsi="Times New Roman"/>
          <w:spacing w:val="12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ЕГЭ, итогового сочинения (изложения), итогового собеседования по русскому языку</w:t>
      </w:r>
      <w:r>
        <w:rPr>
          <w:rFonts w:cs="Times New Roman" w:ascii="Times New Roman" w:hAnsi="Times New Roman"/>
          <w:spacing w:val="-1"/>
          <w:sz w:val="28"/>
          <w:szCs w:val="28"/>
        </w:rPr>
        <w:t>,</w:t>
      </w:r>
      <w:r>
        <w:rPr>
          <w:rFonts w:cs="Times New Roman" w:ascii="Times New Roman" w:hAnsi="Times New Roman"/>
          <w:spacing w:val="-68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позднее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рабочих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дней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 начала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экзамена, итогового сочинения (изложения), итогового собеседования по русскому языку.</w:t>
      </w:r>
    </w:p>
    <w:p>
      <w:pPr>
        <w:pStyle w:val="ListParagraph"/>
        <w:numPr>
          <w:ilvl w:val="1"/>
          <w:numId w:val="1"/>
        </w:numPr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Направление в РЦОИ отчета о проведении мероприятий, установленных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подпунктом 4.4 пункта 4 настоящего приказа, в произвольной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позднее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чем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дня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начала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каждого экзамена, итогового сочинения (изложения), итогового собеседования </w:t>
        <w:br/>
        <w:t xml:space="preserve">по русскому языку.  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433" w:leader="none"/>
          <w:tab w:val="left" w:pos="7240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Административно-ресурсному отделу Административного управления Департамента обеспечить размещение настоящего приказа </w:t>
        <w:br/>
        <w:t>на сайте Департамента и его рассылку.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289" w:leader="none"/>
        </w:tabs>
        <w:spacing w:lineRule="auto" w:line="288" w:beforeAutospacing="0" w:before="0" w:afterAutospacing="0" w:after="0"/>
        <w:ind w:firstLine="707" w:start="0" w:end="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приказа возложить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  <w:br/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заместителя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директора Департамента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И.В.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Святченко.</w:t>
      </w:r>
    </w:p>
    <w:p>
      <w:pPr>
        <w:pStyle w:val="BodyText"/>
        <w:ind w:start="0"/>
        <w:jc w:val="star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 w:val="false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095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1"/>
        <w:gridCol w:w="1868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 директора</w:t>
            </w:r>
          </w:p>
          <w:p>
            <w:pPr>
              <w:pStyle w:val="Normal"/>
              <w:rPr>
                <w:color w:themeColor="text1"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</w:t>
            </w:r>
          </w:p>
        </w:tc>
        <w:tc>
          <w:tcPr>
            <w:tcW w:w="3911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868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А.Б. Гомзяк</w:t>
            </w:r>
          </w:p>
        </w:tc>
      </w:tr>
    </w:tbl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8" w:right="1134" w:gutter="0" w:header="709" w:top="993" w:footer="0" w:bottom="6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100" w:hanging="423"/>
      </w:pPr>
      <w:rPr>
        <w:sz w:val="28"/>
        <w:spacing w:val="0"/>
        <w:szCs w:val="28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312" w:hanging="493"/>
      </w:pPr>
      <w:rPr>
        <w:sz w:val="28"/>
        <w:szCs w:val="28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00" w:hanging="887"/>
      </w:pPr>
      <w:rPr>
        <w:sz w:val="28"/>
        <w:spacing w:val="-3"/>
        <w:szCs w:val="28"/>
        <w:rFonts w:ascii="Times New Roman" w:hAnsi="Times New Roman" w:eastAsia="Times New Roman" w:cs="Times New Roman"/>
        <w:lang w:val="ru-RU" w:eastAsia="en-US" w:bidi="ar-SA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3090" w:hanging="887"/>
      </w:pPr>
      <w:rPr>
        <w:rFonts w:ascii="Symbol" w:hAnsi="Symbol" w:cs="Symbol" w:hint="default"/>
        <w:lang w:val="ru-RU" w:eastAsia="en-US" w:bidi="ar-SA"/>
      </w:rPr>
    </w:lvl>
    <w:lvl w:ilvl="4">
      <w:start w:val="1"/>
      <w:isLgl/>
      <w:numFmt w:val="bullet"/>
      <w:lvlText w:val=""/>
      <w:lvlJc w:val="start"/>
      <w:pPr>
        <w:tabs>
          <w:tab w:val="num" w:pos="0"/>
        </w:tabs>
        <w:ind w:start="3975" w:hanging="887"/>
      </w:pPr>
      <w:rPr>
        <w:rFonts w:ascii="Symbol" w:hAnsi="Symbol" w:cs="Symbol" w:hint="default"/>
        <w:lang w:val="ru-RU" w:eastAsia="en-US" w:bidi="ar-SA"/>
      </w:rPr>
    </w:lvl>
    <w:lvl w:ilvl="5">
      <w:start w:val="1"/>
      <w:isLgl/>
      <w:numFmt w:val="bullet"/>
      <w:lvlText w:val=""/>
      <w:lvlJc w:val="start"/>
      <w:pPr>
        <w:tabs>
          <w:tab w:val="num" w:pos="0"/>
        </w:tabs>
        <w:ind w:start="4860" w:hanging="887"/>
      </w:pPr>
      <w:rPr>
        <w:rFonts w:ascii="Symbol" w:hAnsi="Symbol" w:cs="Symbol" w:hint="default"/>
        <w:lang w:val="ru-RU" w:eastAsia="en-US" w:bidi="ar-SA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5745" w:hanging="887"/>
      </w:pPr>
      <w:rPr>
        <w:rFonts w:ascii="Symbol" w:hAnsi="Symbol" w:cs="Symbol" w:hint="default"/>
        <w:lang w:val="ru-RU" w:eastAsia="en-US" w:bidi="ar-SA"/>
      </w:rPr>
    </w:lvl>
    <w:lvl w:ilvl="7">
      <w:start w:val="1"/>
      <w:isLgl/>
      <w:numFmt w:val="bullet"/>
      <w:lvlText w:val=""/>
      <w:lvlJc w:val="start"/>
      <w:pPr>
        <w:tabs>
          <w:tab w:val="num" w:pos="0"/>
        </w:tabs>
        <w:ind w:start="6630" w:hanging="887"/>
      </w:pPr>
      <w:rPr>
        <w:rFonts w:ascii="Symbol" w:hAnsi="Symbol" w:cs="Symbol" w:hint="default"/>
        <w:lang w:val="ru-RU" w:eastAsia="en-US" w:bidi="ar-SA"/>
      </w:rPr>
    </w:lvl>
    <w:lvl w:ilvl="8">
      <w:start w:val="1"/>
      <w:isLgl/>
      <w:numFmt w:val="bullet"/>
      <w:lvlText w:val=""/>
      <w:lvlJc w:val="start"/>
      <w:pPr>
        <w:tabs>
          <w:tab w:val="num" w:pos="0"/>
        </w:tabs>
        <w:ind w:start="7516" w:hanging="88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Style7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uiPriority w:val="99"/>
    <w:rPr/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8" w:customStyle="1">
    <w:name w:val="Текст Знак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9" w:customStyle="1">
    <w:name w:val="Основной текст Знак"/>
    <w:uiPriority w:val="1"/>
    <w:qFormat/>
    <w:rPr>
      <w:rFonts w:ascii="Times New Roman" w:hAnsi="Times New Roman" w:eastAsia="Times New Roman"/>
    </w:rPr>
  </w:style>
  <w:style w:type="character" w:styleId="Style10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11" w:customStyle="1">
    <w:name w:val="Гипертекстовая ссылка"/>
    <w:uiPriority w:val="99"/>
    <w:qFormat/>
    <w:rPr>
      <w:b/>
      <w:bCs/>
      <w:color w:val="106BBE"/>
    </w:rPr>
  </w:style>
  <w:style w:type="character" w:styleId="Style12" w:customStyle="1">
    <w:name w:val="Без интервала Знак"/>
    <w:uiPriority w:val="1"/>
    <w:qFormat/>
    <w:rPr>
      <w:rFonts w:cs="Calibri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Times New Roman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/>
      <w:b/>
      <w:bCs/>
      <w:sz w:val="28"/>
      <w:szCs w:val="24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/>
      <w:i/>
      <w:sz w:val="24"/>
      <w:szCs w:val="24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6" w:customStyle="1">
    <w:name w:val="Название Знак"/>
    <w:basedOn w:val="DefaultParagraphFont"/>
    <w:qFormat/>
    <w:rPr>
      <w:rFonts w:ascii="Times New Roman" w:hAnsi="Times New Roman" w:eastAsia="Times New Roman"/>
      <w:b/>
      <w:sz w:val="24"/>
      <w:szCs w:val="24"/>
    </w:rPr>
  </w:style>
  <w:style w:type="character" w:styleId="21" w:customStyle="1">
    <w:name w:val="Основной текст с отступом 2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31" w:customStyle="1">
    <w:name w:val="Основной текст с отступом 3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/>
      <w:bCs/>
      <w:sz w:val="28"/>
      <w:szCs w:val="24"/>
    </w:rPr>
  </w:style>
  <w:style w:type="character" w:styleId="32" w:customStyle="1">
    <w:name w:val="Основной текст 3 Знак"/>
    <w:basedOn w:val="DefaultParagraphFont"/>
    <w:qFormat/>
    <w:rPr>
      <w:rFonts w:ascii="Times New Roman" w:hAnsi="Times New Roman" w:eastAsia="Times New Roman"/>
      <w:sz w:val="24"/>
    </w:rPr>
  </w:style>
  <w:style w:type="character" w:styleId="17BookAntiqua9pt" w:customStyle="1">
    <w:name w:val="Основной текст (17) + Book Antiqua;9 pt"/>
    <w:basedOn w:val="DefaultParagraphFont"/>
    <w:qFormat/>
    <w:rPr>
      <w:rFonts w:ascii="Book Antiqua" w:hAnsi="Book Antiqua" w:eastAsia="Book Antiqua" w:cs="Book Antiqua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18" w:customStyle="1">
    <w:name w:val="Тема примечания Знак"/>
    <w:basedOn w:val="Style17"/>
    <w:uiPriority w:val="99"/>
    <w:semiHidden/>
    <w:qFormat/>
    <w:rPr>
      <w:rFonts w:ascii="Times New Roman" w:hAnsi="Times New Roman" w:eastAsia="Times New Roman"/>
      <w:b/>
      <w:bCs/>
    </w:rPr>
  </w:style>
  <w:style w:type="character" w:styleId="23" w:customStyle="1">
    <w:name w:val="Основной текст (2)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Style19" w:customStyle="1">
    <w:name w:val="Основной текст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115pt" w:customStyle="1">
    <w:name w:val="Основной текст + 11;5 pt"/>
    <w:basedOn w:val="Style19"/>
    <w:qFormat/>
    <w:rPr>
      <w:rFonts w:eastAsia="Times New Roman"/>
      <w:color w:val="000000"/>
      <w:spacing w:val="0"/>
      <w:sz w:val="23"/>
      <w:szCs w:val="23"/>
      <w:shd w:fill="FFFFFF" w:val="clear"/>
      <w:lang w:val="ru-RU"/>
    </w:rPr>
  </w:style>
  <w:style w:type="character" w:styleId="33" w:customStyle="1">
    <w:name w:val="Основной текст (3)_"/>
    <w:basedOn w:val="DefaultParagraphFont"/>
    <w:qFormat/>
    <w:rPr>
      <w:rFonts w:eastAsia="Times New Roman"/>
      <w:sz w:val="23"/>
      <w:szCs w:val="23"/>
      <w:shd w:fill="FFFFFF" w:val="clear"/>
    </w:rPr>
  </w:style>
  <w:style w:type="character" w:styleId="11pt" w:customStyle="1">
    <w:name w:val="Основной текст + 11 pt;Полужирный"/>
    <w:basedOn w:val="Style19"/>
    <w:qFormat/>
    <w:rPr>
      <w:rFonts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shd w:fill="FFFFFF" w:val="clear"/>
      <w:lang w:val="ru-RU"/>
    </w:rPr>
  </w:style>
  <w:style w:type="character" w:styleId="115pt1" w:customStyle="1">
    <w:name w:val="Основной текст + 11;5 pt;Курсив"/>
    <w:basedOn w:val="Style19"/>
    <w:qFormat/>
    <w:rPr>
      <w:rFonts w:eastAsia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shd w:fill="FFFFFF" w:val="clear"/>
      <w:lang w:val="ru-RU"/>
    </w:rPr>
  </w:style>
  <w:style w:type="character" w:styleId="Sylfaen8pt" w:customStyle="1">
    <w:name w:val="Основной текст + Sylfaen;8 pt"/>
    <w:basedOn w:val="Style19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6"/>
      <w:szCs w:val="16"/>
      <w:u w:val="none"/>
      <w:shd w:fill="FFFFFF" w:val="clear"/>
      <w:lang w:val="ru-RU"/>
    </w:rPr>
  </w:style>
  <w:style w:type="character" w:styleId="Style20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2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6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Default" w:customStyle="1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cs="Calibri" w:ascii="Calibri" w:hAnsi="Calibri" w:eastAsia="Calibri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Абзац списка1"/>
    <w:basedOn w:val="Normal"/>
    <w:qFormat/>
    <w:pPr>
      <w:ind w:start="720"/>
    </w:pPr>
    <w:rPr>
      <w:rFonts w:eastAsia="Calibri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/>
    <w:rPr/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msonormalmailrucssattributepostfixmailrucssattributepostfix" w:customStyle="1">
    <w:name w:val="msonormal_mailru_css_attribute_postfix_mailru_css_attribute_postfix"/>
    <w:basedOn w:val="Normal"/>
    <w:qFormat/>
    <w:pPr>
      <w:spacing w:beforeAutospacing="1" w:afterAutospacing="1"/>
    </w:pPr>
    <w:rPr>
      <w:sz w:val="24"/>
      <w:szCs w:val="24"/>
    </w:rPr>
  </w:style>
  <w:style w:type="paragraph" w:styleId="24" w:customStyle="1">
    <w:name w:val="Основной текст (2)"/>
    <w:basedOn w:val="Normal"/>
    <w:qFormat/>
    <w:pPr>
      <w:widowControl w:val="false"/>
      <w:shd w:val="clear" w:color="auto" w:fill="FFFFFF"/>
      <w:spacing w:lineRule="exact" w:line="310"/>
      <w:ind w:hanging="1240"/>
      <w:jc w:val="center"/>
    </w:pPr>
    <w:rPr>
      <w:rFonts w:ascii="Calibri" w:hAnsi="Calibri"/>
      <w:sz w:val="26"/>
      <w:szCs w:val="26"/>
    </w:rPr>
  </w:style>
  <w:style w:type="paragraph" w:styleId="14" w:customStyle="1">
    <w:name w:val="Основной текст1"/>
    <w:basedOn w:val="Normal"/>
    <w:qFormat/>
    <w:pPr>
      <w:widowControl w:val="false"/>
      <w:shd w:val="clear" w:color="auto" w:fill="FFFFFF"/>
      <w:spacing w:lineRule="exact" w:line="322" w:before="420" w:after="0"/>
      <w:jc w:val="end"/>
    </w:pPr>
    <w:rPr>
      <w:rFonts w:ascii="Calibri" w:hAnsi="Calibri"/>
      <w:sz w:val="26"/>
      <w:szCs w:val="26"/>
    </w:rPr>
  </w:style>
  <w:style w:type="paragraph" w:styleId="34" w:customStyle="1">
    <w:name w:val="Основной текст (3)"/>
    <w:basedOn w:val="Normal"/>
    <w:qFormat/>
    <w:pPr>
      <w:widowControl w:val="false"/>
      <w:shd w:val="clear" w:color="auto" w:fill="FFFFFF"/>
      <w:spacing w:lineRule="atLeast" w:line="0" w:before="420" w:after="0"/>
      <w:jc w:val="both"/>
    </w:pPr>
    <w:rPr>
      <w:rFonts w:ascii="Calibri" w:hAnsi="Calibri"/>
      <w:sz w:val="23"/>
      <w:szCs w:val="23"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sz w:val="22"/>
      <w:szCs w:val="22"/>
      <w:lang w:eastAsia="en-US"/>
    </w:rPr>
  </w:style>
  <w:style w:type="paragraph" w:styleId="FootnoteText">
    <w:name w:val="footnote text"/>
    <w:basedOn w:val="Normal"/>
    <w:uiPriority w:val="99"/>
    <w:semiHidden/>
    <w:unhideWhenUsed/>
    <w:pPr/>
    <w:rPr/>
  </w:style>
  <w:style w:type="paragraph" w:styleId="Style28">
    <w:name w:val="Содержимое врезки"/>
    <w:basedOn w:val="Normal"/>
    <w:qFormat/>
    <w:pPr/>
    <w:rPr/>
  </w:style>
  <w:style w:type="numbering" w:styleId="Style2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www.moodle.rcoko86.ru/" TargetMode="Externa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645D-D71F-4234-BDA7-377D6D1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LibreOffice/25.8.2.2$Windows_X86_64 LibreOffice_project/d401f2107ccab8f924a8e2df40f573aab7605b6f</Application>
  <AppVersion>15.0000</AppVersion>
  <Pages>6</Pages>
  <Words>1274</Words>
  <Characters>9766</Characters>
  <CharactersWithSpaces>11053</CharactersWithSpaces>
  <Paragraphs>48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2022-06-07T07:13:00Z</dcterms:created>
  <dc:creator>shsb</dc:creator>
  <dc:description/>
  <dc:language>ru-RU</dc:language>
  <cp:lastModifiedBy/>
  <dcterms:modified xsi:type="dcterms:W3CDTF">2025-11-07T15:29:04Z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