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8890" distL="0" distR="5715" simplePos="0" locked="0" layoutInCell="1" allowOverlap="1" relativeHeight="3">
                <wp:simplePos x="0" y="0"/>
                <wp:positionH relativeFrom="column">
                  <wp:posOffset>2428240</wp:posOffset>
                </wp:positionH>
                <wp:positionV relativeFrom="paragraph">
                  <wp:posOffset>68580</wp:posOffset>
                </wp:positionV>
                <wp:extent cx="1232535" cy="904875"/>
                <wp:effectExtent l="635" t="635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90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ind w:start="-284"/>
                              <w:jc w:val="center"/>
                              <w:rPr/>
                            </w:pPr>
                            <w:r>
                              <w:rPr/>
                              <w:t xml:space="preserve">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797560" cy="73152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191.2pt;margin-top:5.4pt;width:97pt;height:71.2pt;mso-wrap-style:square;v-text-anchor:top">
                <v:fill o:detectmouseclick="t" type="solid" color2="black"/>
                <v:stroke color="#3465a4" joinstyle="miter" endcap="flat"/>
                <v:textbox>
                  <w:txbxContent>
                    <w:p>
                      <w:pPr>
                        <w:pStyle w:val="Style28"/>
                        <w:ind w:start="-284"/>
                        <w:jc w:val="center"/>
                        <w:rPr/>
                      </w:pPr>
                      <w:r>
                        <w:rPr/>
                        <w:t xml:space="preserve">     </w:t>
                      </w:r>
                      <w:r>
                        <w:rPr/>
                        <w:drawing>
                          <wp:inline distT="0" distB="0" distL="0" distR="0">
                            <wp:extent cx="797560" cy="731520"/>
                            <wp:effectExtent l="0" t="0" r="0" b="0"/>
                            <wp:docPr id="3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6350" distL="0" distR="1270" simplePos="0" locked="0" layoutInCell="1" allowOverlap="1" relativeHeight="5">
                <wp:simplePos x="0" y="0"/>
                <wp:positionH relativeFrom="column">
                  <wp:posOffset>7620</wp:posOffset>
                </wp:positionH>
                <wp:positionV relativeFrom="paragraph">
                  <wp:posOffset>17145</wp:posOffset>
                </wp:positionV>
                <wp:extent cx="6113780" cy="698500"/>
                <wp:effectExtent l="0" t="0" r="0" b="0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69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ind w:star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8"/>
                              <w:ind w:start="142"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28"/>
                              <w:ind w:star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0.6pt;margin-top:1.35pt;width:481.35pt;height:54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ind w:star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8"/>
                        <w:ind w:start="142"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28"/>
                        <w:ind w:star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5715" distL="6350" distR="6350" simplePos="0" locked="0" layoutInCell="1" allowOverlap="1" relativeHeight="8">
                <wp:simplePos x="0" y="0"/>
                <wp:positionH relativeFrom="column">
                  <wp:posOffset>156845</wp:posOffset>
                </wp:positionH>
                <wp:positionV relativeFrom="paragraph">
                  <wp:posOffset>90170</wp:posOffset>
                </wp:positionV>
                <wp:extent cx="5805170" cy="1824355"/>
                <wp:effectExtent l="0" t="635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182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утверждении циклограмм подготовки приказов, регламентирующих проведение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12.35pt;margin-top:7.1pt;width:457.05pt;height:143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утверждении циклограмм подготовки приказов, регламентирующих проведение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</w:rPr>
        <w:t>01.11.2025</w:t>
      </w:r>
      <w:r>
        <w:rPr>
          <w:color w:val="auto"/>
          <w:sz w:val="24"/>
          <w:szCs w:val="24"/>
        </w:rPr>
        <w:tab/>
        <w:tab/>
        <w:tab/>
        <w:tab/>
        <w:tab/>
        <w:tab/>
        <w:tab/>
        <w:tab/>
        <w:tab/>
        <w:t xml:space="preserve">№ </w:t>
      </w:r>
      <w:r>
        <w:rPr>
          <w:color w:val="auto"/>
          <w:sz w:val="24"/>
          <w:szCs w:val="24"/>
        </w:rPr>
        <w:t>10-П-2171</w:t>
      </w:r>
      <w:r>
        <w:rPr>
          <w:color w:val="auto"/>
          <w:sz w:val="24"/>
          <w:szCs w:val="24"/>
        </w:rPr>
        <w:t xml:space="preserve"> 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пунктом 1 части 12 статьи 59 Федерального закона Российской Федерации от 29.12.2012 № 273-ФЗ «Об образовании </w:t>
        <w:br/>
        <w:t xml:space="preserve">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</w:t>
        <w:br/>
        <w:t xml:space="preserve">(далее – Минпросвещения России, Рособрнадзор) от 04.04.2023 № 232/551, Порядком проведения государственной итоговой аттестации </w:t>
        <w:br/>
        <w:t xml:space="preserve">по образовательным программам среднего общего образования, утвержденным приказом Минпросвещения России и Рособрнадзора </w:t>
        <w:br/>
        <w:t xml:space="preserve">от 04.04.2023 № 233/552, подпунктом 6.6.10 пункта 6.6 Положения </w:t>
        <w:br/>
        <w:t xml:space="preserve">о Департаменте образования и науки Ханты-Мансийского автономного округа – Югры, утвержденного постановлением Правительства </w:t>
        <w:br/>
        <w:t xml:space="preserve">Ханты-Мансийского автономного округа – Югры от 01.12.2017 № 486-п, </w:t>
        <w:br/>
        <w:t>в целях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</w:rPr>
        <w:t>ПРИКАЗЫВАЮ: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>1.Утвердить: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1.1. Циклограмму подготовки приказов, регламентирующих проведение государственной итоговой аттестации обучающихся, освоивших основные образовательные  программы основного общего и среднего общего образования, единого государственного экзамена на территории </w:t>
        <w:br/>
        <w:t>Ханты-Мансийского автономного округа – Югры в 2025/2026 учебном году, дополнительном периоде 2026 года (приложение 1).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1.2. Циклограмму подготовки приказов, регламентирующих проведение государственной итоговой аттестации обучающихся, освоивших основные образовательные программы основного общего образования </w:t>
        <w:br/>
        <w:t xml:space="preserve">на территории Ханты-Мансийского автономного округа – Югры </w:t>
        <w:br/>
        <w:t xml:space="preserve">в 2025/2026 учебном году, дополнительном периоде 2026 года </w:t>
        <w:br/>
        <w:t>(приложение 2).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>1.3. Циклограмму подготовки приказов, регламентирующих проведение государственной итоговой аттестации обучающихся, освоивших основные образовательные программы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 (приложение 3).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2. Отделу адаптированных образовательных программ и итоговой аттестации Управления общего образования Департамента образования </w:t>
        <w:br/>
        <w:t xml:space="preserve">и науки Ханты-Мансийского автономного округа – Югры (далее </w:t>
        <w:br/>
        <w:t>– Департамент) обеспечить подготовку приказов согласно циклограммам, утвержденным пунктом 1 настоящего приказа.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>3. Автономному учреждению дополнительного профессионального образования Ханты-Мансийского автономного округа – Югры «Институт развития образования» – организации, уполномоченной осуществлять функции Регионального центра обработки информации (далее – РЦОИ), обеспечить: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Подготовку приказов согласно циклограммам, утвержденным пунктом 1 настоящего приказа.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3.2. Предоставление сведений (информации), необходимых </w:t>
        <w:br/>
        <w:t xml:space="preserve">для подготовки документов регионального уровня, в том числе </w:t>
        <w:br/>
        <w:t xml:space="preserve">в соответствии с полномочиями РЦОИ, по вопросам организации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 на территории </w:t>
        <w:br/>
        <w:t xml:space="preserve">Ханты-Мансийского автономного округа – Югры в 2025/2026 учебном году, дополнительном периоде 2026 года, в сроки, установленные циклограммами подготовки приказов, утверждёнными пунктом 1 настоящего приказа. 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 Направление в отдел адаптированных образовательных программ </w:t>
        <w:br/>
        <w:t>и итоговой аттестации Управления общего образования Департамента приказов, подготовленных согласно циклограммам, утвержденным пунктом 1 настоящего приказа.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Организационно-технологическое, инструктивно-методическое </w:t>
        <w:br/>
        <w:t xml:space="preserve">и техническое сопровождение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 на территории Ханты-Мансийского автономного округа – Югры </w:t>
        <w:br/>
        <w:t xml:space="preserve">в 2025/2026, дополнительном периоде 2026 года, в соответствии </w:t>
        <w:br/>
        <w:t xml:space="preserve">с нормативными правовыми актами, иными правовыми актами </w:t>
        <w:br/>
        <w:t>и инструктивно-методическими документами Минпросвещения России, Рособрнадздора, Департамента, РЦОИ, с предоставлением в отдел адаптированных образовательных программ и итоговой аттестации Управления общего образования Департамента текущей и итоговой информации об исполнении мероприятий, в сроки, установленные приказами Департамента, РЦОИ.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3.5. Разработку инструктивных и методических материалов </w:t>
        <w:br/>
        <w:t xml:space="preserve">для различных категорий участников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экзамена, лиц, привлекаемых к организации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 на территории Ханты-Мансийского автономного округа – Югры </w:t>
        <w:br/>
        <w:t>в 2025/2026 учебном году, дополнительном периоде 2026 года.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4. Рекомендовать руководителями </w:t>
      </w:r>
      <w:r>
        <w:rPr>
          <w:sz w:val="28"/>
          <w:szCs w:val="28"/>
        </w:rPr>
        <w:t>структурных подразделений исполнительно-распорядительных органов городских округов, муниципальных районов Ханты-Мансийского автономного округа – Югры, курирующих вопросы образования</w:t>
      </w:r>
      <w:r>
        <w:rPr>
          <w:sz w:val="28"/>
          <w:szCs w:val="28"/>
        </w:rPr>
        <w:t xml:space="preserve">, образовательных организаций, находящихся в ведении Департамента культуры </w:t>
        <w:br/>
        <w:t xml:space="preserve">Ханты-Мансийского автономного округа – Югры (Е.А. Мишина, </w:t>
        <w:br/>
        <w:t xml:space="preserve">А.В. Тарасов), Департамента физической культуры и спорта </w:t>
        <w:br/>
        <w:t>Ханты-Мансийского автономного округа – Югры (К.А. Васильев)</w:t>
      </w:r>
      <w:r>
        <w:rPr>
          <w:rFonts w:cs="Times New Roman"/>
          <w:sz w:val="28"/>
          <w:szCs w:val="28"/>
        </w:rPr>
        <w:t>, обеспечить: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4.1. Исполнение нормативных правовых актов, иных правовых актов </w:t>
        <w:br/>
        <w:t xml:space="preserve">и  инструктивно-методических документов Минпросвещения России, Рособрнадзора, Департамента, РЦОИ по вопросам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 на территории </w:t>
        <w:br/>
        <w:t>Ханты-Мансийского автономного округа – Югры в 2025/2026 учебном году, дополнительном периоде 2026 года.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>4.2. Своевременное предоставление в Департамент, РЦОИ информации, необходимой для подготовки документов регионального уровня, связанных с организацией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2026 года.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 xml:space="preserve">5. Руководителям государственных образовательных организаций Ханты-Мансийского автономного округа – Югры, находящихся в ведении Департамента (Л.В. Максимова, Г.К. Хидирлясов, И.И. Старостина, </w:t>
        <w:br/>
        <w:t>Н.В. Свайкина, О.В. Елфимова, О.В. Петрова, С.Ю. Платонова, А.В. Жуков, Б.Т. Мамбетов), обеспечить исполнение пункта 4 настоящего приказа в части касающейся.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/>
      </w:pPr>
      <w:r>
        <w:rPr>
          <w:rFonts w:cs="Times New Roman"/>
          <w:sz w:val="28"/>
          <w:szCs w:val="28"/>
        </w:rPr>
        <w:t>6. Административно-ресурсному отделу Административного управления Департамента обеспечить рассылку настоящего приказа.</w:t>
      </w:r>
    </w:p>
    <w:p>
      <w:pPr>
        <w:pStyle w:val="BodyText"/>
        <w:spacing w:lineRule="auto" w:line="264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Контроль исполнения настоящего приказа возложить на заместителя директора Департамента И.В. Святченко.</w:t>
      </w:r>
    </w:p>
    <w:p>
      <w:pPr>
        <w:pStyle w:val="BodyText"/>
        <w:spacing w:lineRule="auto" w:line="264"/>
        <w:ind w:start="0"/>
        <w:jc w:val="star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BodyText"/>
        <w:spacing w:lineRule="auto" w:line="264"/>
        <w:ind w:start="0"/>
        <w:jc w:val="star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9411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316"/>
        <w:gridCol w:w="3912"/>
        <w:gridCol w:w="2183"/>
      </w:tblGrid>
      <w:tr>
        <w:trPr>
          <w:trHeight w:val="1641" w:hRule="atLeast"/>
        </w:trPr>
        <w:tc>
          <w:tcPr>
            <w:tcW w:w="3316" w:type="dxa"/>
            <w:tcBorders/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Департамента</w:t>
            </w:r>
          </w:p>
        </w:tc>
        <w:tc>
          <w:tcPr>
            <w:tcW w:w="3912" w:type="dxa"/>
            <w:tcBorders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2447925" cy="1003300"/>
                  <wp:effectExtent l="0" t="0" r="0" b="0"/>
                  <wp:wrapNone/>
                  <wp:docPr id="6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cs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cs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Сертификат [Номер сертификата 1]</w:t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ind w:firstLine="142"/>
              <w:rPr>
                <w:sz w:val="10"/>
                <w:szCs w:val="10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2183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Т.Е. Аубакиров</w:t>
            </w:r>
          </w:p>
        </w:tc>
      </w:tr>
    </w:tbl>
    <w:p>
      <w:pPr>
        <w:pStyle w:val="BodyText"/>
        <w:spacing w:lineRule="auto" w:line="264" w:before="0" w:after="120"/>
        <w:ind w:start="0"/>
        <w:jc w:val="star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7" w:right="1134" w:gutter="0" w:header="709" w:top="992" w:footer="0" w:bottom="82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Book Antiqua">
    <w:charset w:val="cc" w:characterSet="windows-1251"/>
    <w:family w:val="roman"/>
    <w:pitch w:val="variable"/>
  </w:font>
  <w:font w:name="Sylfae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Style7" w:customStyle="1">
    <w:name w:val="Электронная подпись Знак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PageNumber">
    <w:name w:val="page number"/>
    <w:basedOn w:val="DefaultParagraphFont"/>
    <w:uiPriority w:val="99"/>
    <w:rPr/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zagolovok" w:customStyle="1">
    <w:name w:val="zagolovok"/>
    <w:basedOn w:val="DefaultParagraphFont"/>
    <w:qFormat/>
    <w:rPr/>
  </w:style>
  <w:style w:type="character" w:styleId="Style8" w:customStyle="1">
    <w:name w:val="Текст Знак"/>
    <w:qFormat/>
    <w:rPr>
      <w:rFonts w:ascii="Courier New" w:hAnsi="Courier New" w:cs="Courier New"/>
      <w:lang w:val="ru-RU" w:eastAsia="ru-RU" w:bidi="ar-SA"/>
    </w:rPr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Style9" w:customStyle="1">
    <w:name w:val="Основной текст Знак"/>
    <w:uiPriority w:val="1"/>
    <w:qFormat/>
    <w:rPr>
      <w:rFonts w:ascii="Times New Roman" w:hAnsi="Times New Roman" w:eastAsia="Times New Roman"/>
    </w:rPr>
  </w:style>
  <w:style w:type="character" w:styleId="Style10" w:customStyle="1">
    <w:name w:val="Абзац списка Знак"/>
    <w:uiPriority w:val="34"/>
    <w:qFormat/>
    <w:rPr>
      <w:rFonts w:eastAsia="Times New Roman"/>
      <w:sz w:val="22"/>
      <w:szCs w:val="22"/>
    </w:rPr>
  </w:style>
  <w:style w:type="character" w:styleId="Style11" w:customStyle="1">
    <w:name w:val="Гипертекстовая ссылка"/>
    <w:uiPriority w:val="99"/>
    <w:qFormat/>
    <w:rPr>
      <w:b/>
      <w:bCs/>
      <w:color w:val="106BBE"/>
    </w:rPr>
  </w:style>
  <w:style w:type="character" w:styleId="Style12" w:customStyle="1">
    <w:name w:val="Без интервала Знак"/>
    <w:uiPriority w:val="1"/>
    <w:qFormat/>
    <w:rPr>
      <w:rFonts w:cs="Calibri"/>
    </w:rPr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Times New Roman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/>
      <w:b/>
      <w:bCs/>
      <w:sz w:val="28"/>
      <w:szCs w:val="24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/>
      <w:i/>
      <w:sz w:val="24"/>
      <w:szCs w:val="24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6" w:customStyle="1">
    <w:name w:val="Название Знак"/>
    <w:basedOn w:val="DefaultParagraphFont"/>
    <w:qFormat/>
    <w:rPr>
      <w:rFonts w:ascii="Times New Roman" w:hAnsi="Times New Roman" w:eastAsia="Times New Roman"/>
      <w:b/>
      <w:sz w:val="24"/>
      <w:szCs w:val="24"/>
    </w:rPr>
  </w:style>
  <w:style w:type="character" w:styleId="21" w:customStyle="1">
    <w:name w:val="Основной текст с отступом 2 Знак"/>
    <w:basedOn w:val="DefaultParagraphFont"/>
    <w:qFormat/>
    <w:rPr>
      <w:rFonts w:ascii="Times New Roman" w:hAnsi="Times New Roman" w:eastAsia="Times New Roman"/>
      <w:sz w:val="28"/>
      <w:szCs w:val="24"/>
    </w:rPr>
  </w:style>
  <w:style w:type="character" w:styleId="31" w:customStyle="1">
    <w:name w:val="Основной текст с отступом 3 Знак"/>
    <w:basedOn w:val="DefaultParagraphFont"/>
    <w:qFormat/>
    <w:rPr>
      <w:rFonts w:ascii="Times New Roman" w:hAnsi="Times New Roman" w:eastAsia="Times New Roman"/>
      <w:sz w:val="28"/>
      <w:szCs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/>
      <w:bCs/>
      <w:sz w:val="28"/>
      <w:szCs w:val="24"/>
    </w:rPr>
  </w:style>
  <w:style w:type="character" w:styleId="32" w:customStyle="1">
    <w:name w:val="Основной текст 3 Знак"/>
    <w:basedOn w:val="DefaultParagraphFont"/>
    <w:qFormat/>
    <w:rPr>
      <w:rFonts w:ascii="Times New Roman" w:hAnsi="Times New Roman" w:eastAsia="Times New Roman"/>
      <w:sz w:val="24"/>
    </w:rPr>
  </w:style>
  <w:style w:type="character" w:styleId="17BookAntiqua9pt" w:customStyle="1">
    <w:name w:val="Основной текст (17) + Book Antiqua;9 pt"/>
    <w:basedOn w:val="DefaultParagraphFont"/>
    <w:qFormat/>
    <w:rPr>
      <w:rFonts w:ascii="Book Antiqua" w:hAnsi="Book Antiqua" w:eastAsia="Book Antiqua" w:cs="Book Antiqua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18" w:customStyle="1">
    <w:name w:val="Тема примечания Знак"/>
    <w:basedOn w:val="Style17"/>
    <w:uiPriority w:val="99"/>
    <w:semiHidden/>
    <w:qFormat/>
    <w:rPr>
      <w:rFonts w:ascii="Times New Roman" w:hAnsi="Times New Roman" w:eastAsia="Times New Roman"/>
      <w:b/>
      <w:bCs/>
    </w:rPr>
  </w:style>
  <w:style w:type="character" w:styleId="23" w:customStyle="1">
    <w:name w:val="Основной текст (2)_"/>
    <w:basedOn w:val="DefaultParagraphFont"/>
    <w:qFormat/>
    <w:rPr>
      <w:rFonts w:eastAsia="Times New Roman"/>
      <w:sz w:val="26"/>
      <w:szCs w:val="26"/>
      <w:shd w:fill="FFFFFF" w:val="clear"/>
    </w:rPr>
  </w:style>
  <w:style w:type="character" w:styleId="Style19" w:customStyle="1">
    <w:name w:val="Основной текст_"/>
    <w:basedOn w:val="DefaultParagraphFont"/>
    <w:qFormat/>
    <w:rPr>
      <w:rFonts w:eastAsia="Times New Roman"/>
      <w:sz w:val="26"/>
      <w:szCs w:val="26"/>
      <w:shd w:fill="FFFFFF" w:val="clear"/>
    </w:rPr>
  </w:style>
  <w:style w:type="character" w:styleId="115pt" w:customStyle="1">
    <w:name w:val="Основной текст + 11;5 pt"/>
    <w:basedOn w:val="Style19"/>
    <w:qFormat/>
    <w:rPr>
      <w:rFonts w:eastAsia="Times New Roman"/>
      <w:color w:val="000000"/>
      <w:spacing w:val="0"/>
      <w:sz w:val="23"/>
      <w:szCs w:val="23"/>
      <w:shd w:fill="FFFFFF" w:val="clear"/>
      <w:lang w:val="ru-RU"/>
    </w:rPr>
  </w:style>
  <w:style w:type="character" w:styleId="33" w:customStyle="1">
    <w:name w:val="Основной текст (3)_"/>
    <w:basedOn w:val="DefaultParagraphFont"/>
    <w:qFormat/>
    <w:rPr>
      <w:rFonts w:eastAsia="Times New Roman"/>
      <w:sz w:val="23"/>
      <w:szCs w:val="23"/>
      <w:shd w:fill="FFFFFF" w:val="clear"/>
    </w:rPr>
  </w:style>
  <w:style w:type="character" w:styleId="11pt" w:customStyle="1">
    <w:name w:val="Основной текст + 11 pt;Полужирный"/>
    <w:basedOn w:val="Style19"/>
    <w:qFormat/>
    <w:rPr>
      <w:rFonts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shd w:fill="FFFFFF" w:val="clear"/>
      <w:lang w:val="ru-RU"/>
    </w:rPr>
  </w:style>
  <w:style w:type="character" w:styleId="115pt1" w:customStyle="1">
    <w:name w:val="Основной текст + 11;5 pt;Курсив"/>
    <w:basedOn w:val="Style19"/>
    <w:qFormat/>
    <w:rPr>
      <w:rFonts w:eastAsia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shd w:fill="FFFFFF" w:val="clear"/>
      <w:lang w:val="ru-RU"/>
    </w:rPr>
  </w:style>
  <w:style w:type="character" w:styleId="Sylfaen8pt" w:customStyle="1">
    <w:name w:val="Основной текст + Sylfaen;8 pt"/>
    <w:basedOn w:val="Style19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6"/>
      <w:szCs w:val="16"/>
      <w:u w:val="none"/>
      <w:shd w:fill="FFFFFF" w:val="clear"/>
      <w:lang w:val="ru-RU"/>
    </w:rPr>
  </w:style>
  <w:style w:type="character" w:styleId="Style20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2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1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26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Default" w:customStyle="1">
    <w:name w:val="Default"/>
    <w:qFormat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cs="Calibri" w:ascii="Calibri" w:hAnsi="Calibri" w:eastAsia="Calibri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Абзац списка1"/>
    <w:basedOn w:val="Normal"/>
    <w:qFormat/>
    <w:pPr>
      <w:ind w:start="720"/>
    </w:pPr>
    <w:rPr>
      <w:rFonts w:eastAsia="Calibri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pPr/>
    <w:rPr/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msonormalmailrucssattributepostfixmailrucssattributepostfix" w:customStyle="1">
    <w:name w:val="msonormal_mailru_css_attribute_postfix_mailru_css_attribute_postfix"/>
    <w:basedOn w:val="Normal"/>
    <w:qFormat/>
    <w:pPr>
      <w:spacing w:beforeAutospacing="1" w:afterAutospacing="1"/>
    </w:pPr>
    <w:rPr>
      <w:sz w:val="24"/>
      <w:szCs w:val="24"/>
    </w:rPr>
  </w:style>
  <w:style w:type="paragraph" w:styleId="24" w:customStyle="1">
    <w:name w:val="Основной текст (2)"/>
    <w:basedOn w:val="Normal"/>
    <w:qFormat/>
    <w:pPr>
      <w:widowControl w:val="false"/>
      <w:shd w:val="clear" w:color="auto" w:fill="FFFFFF"/>
      <w:spacing w:lineRule="exact" w:line="310"/>
      <w:ind w:hanging="1240"/>
      <w:jc w:val="center"/>
    </w:pPr>
    <w:rPr>
      <w:rFonts w:ascii="Calibri" w:hAnsi="Calibri"/>
      <w:sz w:val="26"/>
      <w:szCs w:val="26"/>
    </w:rPr>
  </w:style>
  <w:style w:type="paragraph" w:styleId="14" w:customStyle="1">
    <w:name w:val="Основной текст1"/>
    <w:basedOn w:val="Normal"/>
    <w:qFormat/>
    <w:pPr>
      <w:widowControl w:val="false"/>
      <w:shd w:val="clear" w:color="auto" w:fill="FFFFFF"/>
      <w:spacing w:lineRule="exact" w:line="322" w:before="420" w:after="0"/>
      <w:jc w:val="end"/>
    </w:pPr>
    <w:rPr>
      <w:rFonts w:ascii="Calibri" w:hAnsi="Calibri"/>
      <w:sz w:val="26"/>
      <w:szCs w:val="26"/>
    </w:rPr>
  </w:style>
  <w:style w:type="paragraph" w:styleId="34" w:customStyle="1">
    <w:name w:val="Основной текст (3)"/>
    <w:basedOn w:val="Normal"/>
    <w:qFormat/>
    <w:pPr>
      <w:widowControl w:val="false"/>
      <w:shd w:val="clear" w:color="auto" w:fill="FFFFFF"/>
      <w:spacing w:lineRule="atLeast" w:line="0" w:before="420" w:after="0"/>
      <w:jc w:val="both"/>
    </w:pPr>
    <w:rPr>
      <w:rFonts w:ascii="Calibri" w:hAnsi="Calibri"/>
      <w:sz w:val="23"/>
      <w:szCs w:val="23"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sz w:val="22"/>
      <w:szCs w:val="22"/>
      <w:lang w:eastAsia="en-US"/>
    </w:rPr>
  </w:style>
  <w:style w:type="paragraph" w:styleId="FootnoteText">
    <w:name w:val="footnote text"/>
    <w:basedOn w:val="Normal"/>
    <w:uiPriority w:val="99"/>
    <w:semiHidden/>
    <w:unhideWhenUsed/>
    <w:pPr/>
    <w:rPr/>
  </w:style>
  <w:style w:type="paragraph" w:styleId="Style28">
    <w:name w:val="Содержимое врезки"/>
    <w:basedOn w:val="Normal"/>
    <w:qFormat/>
    <w:pPr/>
    <w:rPr/>
  </w:style>
  <w:style w:type="numbering" w:styleId="Style2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645D-D71F-4234-BDA7-377D6D1D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4</Pages>
  <Words>824</Words>
  <Characters>6960</Characters>
  <CharactersWithSpaces>7819</CharactersWithSpaces>
  <Paragraphs>35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2022-06-07T07:13:00Z</dcterms:created>
  <dc:creator>shsb</dc:creator>
  <dc:description/>
  <dc:language>ru-RU</dc:language>
  <cp:lastModifiedBy/>
  <dcterms:modified xsi:type="dcterms:W3CDTF">2025-11-07T15:31:07Z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